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E95AD" w14:textId="77777777" w:rsidR="00E421E0" w:rsidRPr="003359D1" w:rsidRDefault="00E421E0" w:rsidP="00AD5304">
      <w:pPr>
        <w:shd w:val="clear" w:color="auto" w:fill="FFFFFF" w:themeFill="background1"/>
        <w:jc w:val="both"/>
      </w:pPr>
      <w:r w:rsidRPr="003359D1">
        <w:rPr>
          <w:noProof/>
          <w:lang w:eastAsia="en-GB"/>
        </w:rPr>
        <w:drawing>
          <wp:anchor distT="0" distB="0" distL="114300" distR="114300" simplePos="0" relativeHeight="251659264" behindDoc="0" locked="0" layoutInCell="1" allowOverlap="1" wp14:anchorId="7278AB3F" wp14:editId="554132D4">
            <wp:simplePos x="0" y="0"/>
            <wp:positionH relativeFrom="margin">
              <wp:align>left</wp:align>
            </wp:positionH>
            <wp:positionV relativeFrom="paragraph">
              <wp:posOffset>-511810</wp:posOffset>
            </wp:positionV>
            <wp:extent cx="2739992" cy="512064"/>
            <wp:effectExtent l="0" t="0" r="381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9992" cy="5120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0FF54" w14:textId="77777777" w:rsidR="00E421E0" w:rsidRPr="003359D1" w:rsidRDefault="00E421E0" w:rsidP="00AD5304">
      <w:pPr>
        <w:shd w:val="clear" w:color="auto" w:fill="FFFFFF" w:themeFill="background1"/>
        <w:jc w:val="both"/>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F06AD5" w:rsidRPr="003359D1" w14:paraId="71252A9B" w14:textId="77777777" w:rsidTr="00F06AD5">
        <w:trPr>
          <w:trHeight w:val="260"/>
        </w:trPr>
        <w:tc>
          <w:tcPr>
            <w:tcW w:w="9016" w:type="dxa"/>
          </w:tcPr>
          <w:p w14:paraId="13A9B8D9" w14:textId="7C3EDF4F" w:rsidR="00F06AD5" w:rsidRPr="003359D1" w:rsidRDefault="00544E5F" w:rsidP="00AD5304">
            <w:pPr>
              <w:pStyle w:val="Heading1"/>
              <w:shd w:val="clear" w:color="auto" w:fill="FFFFFF" w:themeFill="background1"/>
              <w:jc w:val="center"/>
            </w:pPr>
            <w:r>
              <w:t>Terms of Reference</w:t>
            </w:r>
          </w:p>
        </w:tc>
      </w:tr>
      <w:tr w:rsidR="00F06AD5" w:rsidRPr="003359D1" w14:paraId="7174DD99" w14:textId="77777777" w:rsidTr="00F06AD5">
        <w:tc>
          <w:tcPr>
            <w:tcW w:w="9016" w:type="dxa"/>
          </w:tcPr>
          <w:p w14:paraId="39E06AFA" w14:textId="4EC4B467" w:rsidR="00F06AD5" w:rsidRPr="00841568" w:rsidRDefault="00841568" w:rsidP="00AD5304">
            <w:pPr>
              <w:pStyle w:val="Heading2"/>
              <w:shd w:val="clear" w:color="auto" w:fill="FFFFFF" w:themeFill="background1"/>
              <w:jc w:val="center"/>
              <w:rPr>
                <w:rFonts w:asciiTheme="minorHAnsi" w:hAnsiTheme="minorHAnsi" w:cstheme="minorHAnsi"/>
                <w:sz w:val="24"/>
                <w:szCs w:val="24"/>
              </w:rPr>
            </w:pPr>
            <w:r w:rsidRPr="00EA1125">
              <w:rPr>
                <w:rFonts w:asciiTheme="minorHAnsi" w:hAnsiTheme="minorHAnsi" w:cstheme="minorHAnsi"/>
                <w:sz w:val="24"/>
                <w:szCs w:val="24"/>
              </w:rPr>
              <w:t xml:space="preserve">Implementation Partnership for Employment Intensive Investment Programme (EIIP) </w:t>
            </w:r>
            <w:r>
              <w:rPr>
                <w:rFonts w:asciiTheme="minorHAnsi" w:hAnsiTheme="minorHAnsi" w:cstheme="minorHAnsi"/>
                <w:sz w:val="24"/>
                <w:szCs w:val="24"/>
              </w:rPr>
              <w:t xml:space="preserve">Infrastructure Development Works in </w:t>
            </w:r>
            <w:r w:rsidR="00CB2524">
              <w:rPr>
                <w:rFonts w:asciiTheme="minorHAnsi" w:hAnsiTheme="minorHAnsi" w:cstheme="minorHAnsi"/>
                <w:sz w:val="24"/>
                <w:szCs w:val="24"/>
              </w:rPr>
              <w:t>White Nile</w:t>
            </w:r>
            <w:r w:rsidRPr="00EA1125">
              <w:rPr>
                <w:rFonts w:asciiTheme="minorHAnsi" w:hAnsiTheme="minorHAnsi" w:cstheme="minorHAnsi"/>
                <w:sz w:val="24"/>
                <w:szCs w:val="24"/>
              </w:rPr>
              <w:t xml:space="preserve"> State</w:t>
            </w:r>
            <w:r>
              <w:rPr>
                <w:rFonts w:asciiTheme="minorHAnsi" w:hAnsiTheme="minorHAnsi" w:cstheme="minorHAnsi"/>
                <w:sz w:val="24"/>
                <w:szCs w:val="24"/>
              </w:rPr>
              <w:t xml:space="preserve"> (</w:t>
            </w:r>
            <w:r w:rsidRPr="00150A17">
              <w:rPr>
                <w:rFonts w:asciiTheme="minorHAnsi" w:hAnsiTheme="minorHAnsi" w:cstheme="minorHAnsi"/>
                <w:sz w:val="24"/>
                <w:szCs w:val="24"/>
              </w:rPr>
              <w:t>SDN/19/50/NLD</w:t>
            </w:r>
            <w:r>
              <w:rPr>
                <w:rFonts w:asciiTheme="minorHAnsi" w:hAnsiTheme="minorHAnsi" w:cstheme="minorHAnsi"/>
                <w:sz w:val="24"/>
                <w:szCs w:val="24"/>
              </w:rPr>
              <w:t>)</w:t>
            </w:r>
          </w:p>
        </w:tc>
      </w:tr>
    </w:tbl>
    <w:p w14:paraId="13673FCE" w14:textId="77777777" w:rsidR="00E421E0" w:rsidRPr="003359D1" w:rsidRDefault="00E421E0" w:rsidP="00AD5304">
      <w:pPr>
        <w:shd w:val="clear" w:color="auto" w:fill="FFFFFF" w:themeFill="background1"/>
        <w:jc w:val="both"/>
      </w:pPr>
    </w:p>
    <w:p w14:paraId="7B07814C" w14:textId="74770120" w:rsidR="00E421E0" w:rsidRDefault="00E421E0" w:rsidP="00AD5304">
      <w:pPr>
        <w:pStyle w:val="Heading2"/>
        <w:shd w:val="clear" w:color="auto" w:fill="FFFFFF" w:themeFill="background1"/>
      </w:pPr>
      <w:r w:rsidRPr="003359D1">
        <w:t>BACKGROUND AND INTRODUCTION</w:t>
      </w:r>
    </w:p>
    <w:p w14:paraId="1C999F5F" w14:textId="149A315F" w:rsidR="001D02AD" w:rsidRDefault="001D02AD" w:rsidP="00AD5304">
      <w:pPr>
        <w:shd w:val="clear" w:color="auto" w:fill="FFFFFF" w:themeFill="background1"/>
        <w:tabs>
          <w:tab w:val="left" w:pos="720"/>
        </w:tabs>
        <w:jc w:val="both"/>
        <w:rPr>
          <w:rFonts w:cstheme="minorHAnsi"/>
          <w:lang w:val="en-US"/>
        </w:rPr>
      </w:pPr>
      <w:r>
        <w:rPr>
          <w:rFonts w:cstheme="minorHAnsi"/>
          <w:lang w:val="en-US"/>
        </w:rPr>
        <w:t xml:space="preserve">The PROSPECTS partnership for </w:t>
      </w:r>
      <w:r w:rsidRPr="001D02AD">
        <w:rPr>
          <w:rFonts w:cstheme="minorHAnsi"/>
          <w:lang w:val="en-US"/>
        </w:rPr>
        <w:t xml:space="preserve">“Inclusive Jobs and Education for Forcibly Displaced Persons and Host communities in Sudan” is funded by the Government of the Netherlands in partnership with the IFC, ILO, UNHCR, UNICEF and the World Bank. The </w:t>
      </w:r>
      <w:proofErr w:type="spellStart"/>
      <w:r w:rsidRPr="001D02AD">
        <w:rPr>
          <w:rFonts w:cstheme="minorHAnsi"/>
          <w:lang w:val="en-US"/>
        </w:rPr>
        <w:t>Programme</w:t>
      </w:r>
      <w:proofErr w:type="spellEnd"/>
      <w:r w:rsidRPr="001D02AD">
        <w:rPr>
          <w:rFonts w:cstheme="minorHAnsi"/>
          <w:lang w:val="en-US"/>
        </w:rPr>
        <w:t xml:space="preserve"> supports host communities and forcibly displaced persons through interventions that promote protection and inclusion, learning, skills development, as well as access to livelihoods and economic opportunities. The Partnership aims to help transform the way governments and other stakeholders, including the private sector, respond to forced displacement crises – and in particular: (1) to enhance the enabling environment for the socio-economic inclusion of forcibly displaced persons; (2) to enhance access to education and child protection for vulnerable children on the move; and (3) to strengthen the resilience of host communities through inclusive socio-economic development that also benefits forcibly displaced persons.</w:t>
      </w:r>
    </w:p>
    <w:p w14:paraId="667E977A" w14:textId="197B006D" w:rsidR="00E37666" w:rsidRPr="001D02AD" w:rsidRDefault="00E37666" w:rsidP="00AD5304">
      <w:pPr>
        <w:shd w:val="clear" w:color="auto" w:fill="FFFFFF" w:themeFill="background1"/>
        <w:tabs>
          <w:tab w:val="left" w:pos="720"/>
        </w:tabs>
        <w:jc w:val="both"/>
        <w:rPr>
          <w:rFonts w:cstheme="minorHAnsi"/>
          <w:lang w:val="en-US"/>
        </w:rPr>
      </w:pPr>
      <w:r w:rsidRPr="00D60BE9">
        <w:rPr>
          <w:rFonts w:cstheme="minorHAnsi"/>
          <w:lang w:val="en-US"/>
        </w:rPr>
        <w:t>Under Pillar</w:t>
      </w:r>
      <w:r w:rsidR="00CC59CB">
        <w:rPr>
          <w:rFonts w:cstheme="minorHAnsi"/>
          <w:lang w:val="en-US"/>
        </w:rPr>
        <w:t>s</w:t>
      </w:r>
      <w:r w:rsidRPr="00D60BE9">
        <w:rPr>
          <w:rFonts w:cstheme="minorHAnsi"/>
          <w:lang w:val="en-US"/>
        </w:rPr>
        <w:t xml:space="preserve"> 1</w:t>
      </w:r>
      <w:r w:rsidR="001A62FB">
        <w:rPr>
          <w:rFonts w:cstheme="minorHAnsi"/>
          <w:lang w:val="en-US"/>
        </w:rPr>
        <w:t xml:space="preserve">, 2 </w:t>
      </w:r>
      <w:r w:rsidRPr="00D60BE9">
        <w:rPr>
          <w:rFonts w:cstheme="minorHAnsi"/>
          <w:lang w:val="en-US"/>
        </w:rPr>
        <w:t xml:space="preserve">and </w:t>
      </w:r>
      <w:r w:rsidR="001A62FB">
        <w:rPr>
          <w:rFonts w:cstheme="minorHAnsi"/>
          <w:lang w:val="en-US"/>
        </w:rPr>
        <w:t>4</w:t>
      </w:r>
      <w:r w:rsidRPr="00D60BE9">
        <w:rPr>
          <w:rFonts w:cstheme="minorHAnsi"/>
          <w:lang w:val="en-US"/>
        </w:rPr>
        <w:t xml:space="preserve">, the ILOs Employment Intensive civil works </w:t>
      </w:r>
      <w:proofErr w:type="spellStart"/>
      <w:r w:rsidRPr="00D60BE9">
        <w:rPr>
          <w:rFonts w:cstheme="minorHAnsi"/>
          <w:lang w:val="en-US"/>
        </w:rPr>
        <w:t>programme</w:t>
      </w:r>
      <w:proofErr w:type="spellEnd"/>
      <w:r w:rsidRPr="00D60BE9">
        <w:rPr>
          <w:rFonts w:cstheme="minorHAnsi"/>
          <w:lang w:val="en-US"/>
        </w:rPr>
        <w:t xml:space="preserve"> will play a central role in employment creation, public asset creation, and value chain upgrading in the targe</w:t>
      </w:r>
      <w:r>
        <w:rPr>
          <w:rFonts w:cstheme="minorHAnsi"/>
          <w:lang w:val="en-US"/>
        </w:rPr>
        <w:t>t</w:t>
      </w:r>
      <w:r w:rsidR="00986460">
        <w:rPr>
          <w:rFonts w:cstheme="minorHAnsi"/>
          <w:lang w:val="en-US"/>
        </w:rPr>
        <w:t>ed</w:t>
      </w:r>
      <w:r>
        <w:rPr>
          <w:rFonts w:cstheme="minorHAnsi"/>
          <w:lang w:val="en-US"/>
        </w:rPr>
        <w:t xml:space="preserve"> locations.</w:t>
      </w:r>
      <w:r w:rsidR="00986460">
        <w:rPr>
          <w:rFonts w:cstheme="minorHAnsi"/>
          <w:lang w:val="en-US"/>
        </w:rPr>
        <w:t xml:space="preserve"> </w:t>
      </w:r>
      <w:r>
        <w:rPr>
          <w:rFonts w:cstheme="minorHAnsi"/>
          <w:lang w:val="en-US"/>
        </w:rPr>
        <w:t>The Partnership</w:t>
      </w:r>
      <w:r w:rsidRPr="00D60BE9">
        <w:rPr>
          <w:rFonts w:cstheme="minorHAnsi"/>
          <w:lang w:val="en-US"/>
        </w:rPr>
        <w:t xml:space="preserve"> identified critical public assets, including health care facilities, water access points, schools/training centers, and selected value chain upgrading initiatives for restoration, revitalization, and/or rehabilitation in target</w:t>
      </w:r>
      <w:r w:rsidR="00986460">
        <w:rPr>
          <w:rFonts w:cstheme="minorHAnsi"/>
          <w:lang w:val="en-US"/>
        </w:rPr>
        <w:t>ed</w:t>
      </w:r>
      <w:r w:rsidRPr="00D60BE9">
        <w:rPr>
          <w:rFonts w:cstheme="minorHAnsi"/>
          <w:lang w:val="en-US"/>
        </w:rPr>
        <w:t xml:space="preserve"> areas of</w:t>
      </w:r>
      <w:r>
        <w:rPr>
          <w:rFonts w:cstheme="minorHAnsi"/>
          <w:lang w:val="en-US"/>
        </w:rPr>
        <w:t xml:space="preserve"> </w:t>
      </w:r>
      <w:r w:rsidR="001D02AD">
        <w:rPr>
          <w:rFonts w:cstheme="minorHAnsi"/>
          <w:lang w:val="en-US"/>
        </w:rPr>
        <w:t>White Nile state</w:t>
      </w:r>
      <w:r w:rsidRPr="00D60BE9">
        <w:rPr>
          <w:rFonts w:cstheme="minorHAnsi"/>
          <w:lang w:val="en-US"/>
        </w:rPr>
        <w:t xml:space="preserve">. </w:t>
      </w:r>
    </w:p>
    <w:p w14:paraId="71C95569" w14:textId="77777777" w:rsidR="00D92C54" w:rsidRPr="00D92C54" w:rsidRDefault="00D92C54" w:rsidP="00AD5304">
      <w:pPr>
        <w:shd w:val="clear" w:color="auto" w:fill="FFFFFF" w:themeFill="background1"/>
        <w:spacing w:after="80" w:line="276" w:lineRule="auto"/>
        <w:jc w:val="both"/>
        <w:rPr>
          <w:rFonts w:cstheme="minorHAnsi"/>
          <w:lang w:val="en-US"/>
        </w:rPr>
      </w:pPr>
      <w:r w:rsidRPr="00D92C54">
        <w:rPr>
          <w:rFonts w:cstheme="minorHAnsi"/>
          <w:lang w:val="en-US"/>
        </w:rPr>
        <w:t>From 15 April 2023, armed clashes erupted between the Sudanese Armed Forces (SAF) and the Rapid Support Forces (RSF) in multiple cities across Sudan. Clashes initially took place in cities across Northern states and Khartoum, later spreading across the Darfur and Kordofan regions. The most severe clashes took place in the capital city of Khartoum and Ag Geneina Town in West Darfur. The food security situation of IDPs and some vulnerable host community members was greatly affected by the continuous displacement to the White Nile State from Khartoum, Kordofan and Darfur. Besides, the on-going economic crisis.</w:t>
      </w:r>
    </w:p>
    <w:p w14:paraId="19768476" w14:textId="4EC529D3" w:rsidR="00D92C54" w:rsidRPr="00D92C54" w:rsidRDefault="00D92C54" w:rsidP="00AD5304">
      <w:pPr>
        <w:shd w:val="clear" w:color="auto" w:fill="FFFFFF" w:themeFill="background1"/>
        <w:spacing w:after="80" w:line="276" w:lineRule="auto"/>
        <w:jc w:val="both"/>
        <w:rPr>
          <w:rFonts w:cstheme="minorHAnsi"/>
          <w:lang w:val="en-US"/>
        </w:rPr>
      </w:pPr>
      <w:r w:rsidRPr="00D92C54">
        <w:rPr>
          <w:rFonts w:cstheme="minorHAnsi"/>
          <w:lang w:val="en-US"/>
        </w:rPr>
        <w:t xml:space="preserve">White Nile State is situated in the southern part of Sudan. It borders South Kordofan, North Kordofan, Khartoum, Al Gezira, and </w:t>
      </w:r>
      <w:proofErr w:type="spellStart"/>
      <w:r w:rsidRPr="00D92C54">
        <w:rPr>
          <w:rFonts w:cstheme="minorHAnsi"/>
          <w:lang w:val="en-US"/>
        </w:rPr>
        <w:t>Sennar</w:t>
      </w:r>
      <w:proofErr w:type="spellEnd"/>
      <w:r w:rsidRPr="00D92C54">
        <w:rPr>
          <w:rFonts w:cstheme="minorHAnsi"/>
          <w:lang w:val="en-US"/>
        </w:rPr>
        <w:t xml:space="preserve"> states and shares an international border with South Sudan. Its state capital is </w:t>
      </w:r>
      <w:proofErr w:type="spellStart"/>
      <w:r w:rsidRPr="00D92C54">
        <w:rPr>
          <w:rFonts w:cstheme="minorHAnsi"/>
          <w:lang w:val="en-US"/>
        </w:rPr>
        <w:t>Rabak</w:t>
      </w:r>
      <w:proofErr w:type="spellEnd"/>
      <w:r w:rsidRPr="00D92C54">
        <w:rPr>
          <w:rFonts w:cstheme="minorHAnsi"/>
          <w:lang w:val="en-US"/>
        </w:rPr>
        <w:t xml:space="preserve"> town and there are nine localities in the state including, Ad </w:t>
      </w:r>
      <w:proofErr w:type="spellStart"/>
      <w:r w:rsidRPr="00D92C54">
        <w:rPr>
          <w:rFonts w:cstheme="minorHAnsi"/>
          <w:lang w:val="en-US"/>
        </w:rPr>
        <w:t>Diwaim</w:t>
      </w:r>
      <w:proofErr w:type="spellEnd"/>
      <w:r w:rsidRPr="00D92C54">
        <w:rPr>
          <w:rFonts w:cstheme="minorHAnsi"/>
          <w:lang w:val="en-US"/>
        </w:rPr>
        <w:t xml:space="preserve">, Al </w:t>
      </w:r>
      <w:proofErr w:type="spellStart"/>
      <w:r w:rsidRPr="00D92C54">
        <w:rPr>
          <w:rFonts w:cstheme="minorHAnsi"/>
          <w:lang w:val="en-US"/>
        </w:rPr>
        <w:t>Gutaina</w:t>
      </w:r>
      <w:proofErr w:type="spellEnd"/>
      <w:r w:rsidRPr="00D92C54">
        <w:rPr>
          <w:rFonts w:cstheme="minorHAnsi"/>
          <w:lang w:val="en-US"/>
        </w:rPr>
        <w:t xml:space="preserve">, Kosti, </w:t>
      </w:r>
      <w:proofErr w:type="spellStart"/>
      <w:r w:rsidRPr="00D92C54">
        <w:rPr>
          <w:rFonts w:cstheme="minorHAnsi"/>
          <w:lang w:val="en-US"/>
        </w:rPr>
        <w:t>Rabak</w:t>
      </w:r>
      <w:proofErr w:type="spellEnd"/>
      <w:r w:rsidRPr="00D92C54">
        <w:rPr>
          <w:rFonts w:cstheme="minorHAnsi"/>
          <w:lang w:val="en-US"/>
        </w:rPr>
        <w:t xml:space="preserve">, Al </w:t>
      </w:r>
      <w:proofErr w:type="spellStart"/>
      <w:r w:rsidRPr="00D92C54">
        <w:rPr>
          <w:rFonts w:cstheme="minorHAnsi"/>
          <w:lang w:val="en-US"/>
        </w:rPr>
        <w:t>Jabalien</w:t>
      </w:r>
      <w:proofErr w:type="spellEnd"/>
      <w:r w:rsidRPr="00D92C54">
        <w:rPr>
          <w:rFonts w:cstheme="minorHAnsi"/>
          <w:lang w:val="en-US"/>
        </w:rPr>
        <w:t xml:space="preserve"> </w:t>
      </w:r>
      <w:proofErr w:type="spellStart"/>
      <w:r w:rsidRPr="00D92C54">
        <w:rPr>
          <w:rFonts w:cstheme="minorHAnsi"/>
          <w:lang w:val="en-US"/>
        </w:rPr>
        <w:t>Tendulti</w:t>
      </w:r>
      <w:proofErr w:type="spellEnd"/>
      <w:r w:rsidRPr="00D92C54">
        <w:rPr>
          <w:rFonts w:cstheme="minorHAnsi"/>
          <w:lang w:val="en-US"/>
        </w:rPr>
        <w:t xml:space="preserve">, Um </w:t>
      </w:r>
      <w:proofErr w:type="spellStart"/>
      <w:r w:rsidRPr="00D92C54">
        <w:rPr>
          <w:rFonts w:cstheme="minorHAnsi"/>
          <w:lang w:val="en-US"/>
        </w:rPr>
        <w:t>Remta</w:t>
      </w:r>
      <w:proofErr w:type="spellEnd"/>
      <w:r w:rsidRPr="00D92C54">
        <w:rPr>
          <w:rFonts w:cstheme="minorHAnsi"/>
          <w:lang w:val="en-US"/>
        </w:rPr>
        <w:t xml:space="preserve">, </w:t>
      </w:r>
      <w:proofErr w:type="spellStart"/>
      <w:r w:rsidRPr="00D92C54">
        <w:rPr>
          <w:rFonts w:cstheme="minorHAnsi"/>
          <w:lang w:val="en-US"/>
        </w:rPr>
        <w:t>Alsalaam</w:t>
      </w:r>
      <w:proofErr w:type="spellEnd"/>
      <w:r w:rsidRPr="00D92C54">
        <w:rPr>
          <w:rFonts w:cstheme="minorHAnsi"/>
          <w:lang w:val="en-US"/>
        </w:rPr>
        <w:t xml:space="preserve">, </w:t>
      </w:r>
      <w:proofErr w:type="spellStart"/>
      <w:r w:rsidRPr="00D92C54">
        <w:rPr>
          <w:rFonts w:cstheme="minorHAnsi"/>
          <w:lang w:val="en-US"/>
        </w:rPr>
        <w:t>Guli</w:t>
      </w:r>
      <w:proofErr w:type="spellEnd"/>
      <w:r w:rsidRPr="00D92C54">
        <w:rPr>
          <w:rFonts w:cstheme="minorHAnsi"/>
          <w:lang w:val="en-US"/>
        </w:rPr>
        <w:t xml:space="preserve">. Flooding and protracted displacement are the main </w:t>
      </w:r>
      <w:proofErr w:type="gramStart"/>
      <w:r w:rsidRPr="00D92C54">
        <w:rPr>
          <w:rFonts w:cstheme="minorHAnsi"/>
          <w:lang w:val="en-US"/>
        </w:rPr>
        <w:t>drivers</w:t>
      </w:r>
      <w:proofErr w:type="gramEnd"/>
      <w:r w:rsidRPr="00D92C54">
        <w:rPr>
          <w:rFonts w:cstheme="minorHAnsi"/>
          <w:lang w:val="en-US"/>
        </w:rPr>
        <w:t xml:space="preserve"> of humanitarian needs in White Nile State and the state hosts one of the large</w:t>
      </w:r>
      <w:r w:rsidR="00067B64">
        <w:rPr>
          <w:rFonts w:cstheme="minorHAnsi"/>
          <w:lang w:val="en-US"/>
        </w:rPr>
        <w:t>st</w:t>
      </w:r>
      <w:r w:rsidRPr="00D92C54">
        <w:rPr>
          <w:rFonts w:cstheme="minorHAnsi"/>
          <w:lang w:val="en-US"/>
        </w:rPr>
        <w:t xml:space="preserve"> refugee populations in the country. </w:t>
      </w:r>
    </w:p>
    <w:p w14:paraId="6EB6B1A1" w14:textId="7320D2AD" w:rsidR="00D92C54" w:rsidRDefault="00D92C54" w:rsidP="00AD5304">
      <w:pPr>
        <w:shd w:val="clear" w:color="auto" w:fill="FFFFFF" w:themeFill="background1"/>
        <w:tabs>
          <w:tab w:val="left" w:pos="720"/>
        </w:tabs>
        <w:jc w:val="both"/>
        <w:rPr>
          <w:rFonts w:cstheme="minorHAnsi"/>
          <w:lang w:val="en-US"/>
        </w:rPr>
      </w:pPr>
      <w:r w:rsidRPr="00D92C54">
        <w:rPr>
          <w:rFonts w:cstheme="minorHAnsi"/>
          <w:lang w:val="en-US"/>
        </w:rPr>
        <w:t xml:space="preserve">By 18 July 2023 around 267,899 displaced persons arrived at White Nile state from Khartoum. The displaced caseload is located across Ad </w:t>
      </w:r>
      <w:proofErr w:type="spellStart"/>
      <w:r w:rsidRPr="00D92C54">
        <w:rPr>
          <w:rFonts w:cstheme="minorHAnsi"/>
          <w:lang w:val="en-US"/>
        </w:rPr>
        <w:t>Diwaim</w:t>
      </w:r>
      <w:proofErr w:type="spellEnd"/>
      <w:r w:rsidRPr="00D92C54">
        <w:rPr>
          <w:rFonts w:cstheme="minorHAnsi"/>
          <w:lang w:val="en-US"/>
        </w:rPr>
        <w:t xml:space="preserve">, </w:t>
      </w:r>
      <w:proofErr w:type="spellStart"/>
      <w:r w:rsidRPr="00D92C54">
        <w:rPr>
          <w:rFonts w:cstheme="minorHAnsi"/>
          <w:lang w:val="en-US"/>
        </w:rPr>
        <w:t>Aj</w:t>
      </w:r>
      <w:proofErr w:type="spellEnd"/>
      <w:r w:rsidRPr="00D92C54">
        <w:rPr>
          <w:rFonts w:cstheme="minorHAnsi"/>
          <w:lang w:val="en-US"/>
        </w:rPr>
        <w:t xml:space="preserve"> </w:t>
      </w:r>
      <w:proofErr w:type="spellStart"/>
      <w:r w:rsidRPr="00D92C54">
        <w:rPr>
          <w:rFonts w:cstheme="minorHAnsi"/>
          <w:lang w:val="en-US"/>
        </w:rPr>
        <w:t>Jabalain</w:t>
      </w:r>
      <w:proofErr w:type="spellEnd"/>
      <w:r w:rsidRPr="00D92C54">
        <w:rPr>
          <w:rFonts w:cstheme="minorHAnsi"/>
          <w:lang w:val="en-US"/>
        </w:rPr>
        <w:t xml:space="preserve">, Al </w:t>
      </w:r>
      <w:proofErr w:type="spellStart"/>
      <w:r w:rsidRPr="00D92C54">
        <w:rPr>
          <w:rFonts w:cstheme="minorHAnsi"/>
          <w:lang w:val="en-US"/>
        </w:rPr>
        <w:t>Gitaina</w:t>
      </w:r>
      <w:proofErr w:type="spellEnd"/>
      <w:r w:rsidRPr="00D92C54">
        <w:rPr>
          <w:rFonts w:cstheme="minorHAnsi"/>
          <w:lang w:val="en-US"/>
        </w:rPr>
        <w:t>, As Salam/</w:t>
      </w:r>
      <w:proofErr w:type="spellStart"/>
      <w:r w:rsidRPr="00D92C54">
        <w:rPr>
          <w:rFonts w:cstheme="minorHAnsi"/>
          <w:lang w:val="en-US"/>
        </w:rPr>
        <w:t>Ar</w:t>
      </w:r>
      <w:proofErr w:type="spellEnd"/>
      <w:r w:rsidRPr="00D92C54">
        <w:rPr>
          <w:rFonts w:cstheme="minorHAnsi"/>
          <w:lang w:val="en-US"/>
        </w:rPr>
        <w:t xml:space="preserve"> Rawat, </w:t>
      </w:r>
      <w:proofErr w:type="spellStart"/>
      <w:r w:rsidRPr="00D92C54">
        <w:rPr>
          <w:rFonts w:cstheme="minorHAnsi"/>
          <w:lang w:val="en-US"/>
        </w:rPr>
        <w:t>Guli</w:t>
      </w:r>
      <w:proofErr w:type="spellEnd"/>
      <w:r w:rsidRPr="00D92C54">
        <w:rPr>
          <w:rFonts w:cstheme="minorHAnsi"/>
          <w:lang w:val="en-US"/>
        </w:rPr>
        <w:t xml:space="preserve">, Kosti, </w:t>
      </w:r>
      <w:proofErr w:type="spellStart"/>
      <w:r w:rsidRPr="00D92C54">
        <w:rPr>
          <w:rFonts w:cstheme="minorHAnsi"/>
          <w:lang w:val="en-US"/>
        </w:rPr>
        <w:t>Rabak</w:t>
      </w:r>
      <w:proofErr w:type="spellEnd"/>
      <w:r w:rsidRPr="00D92C54">
        <w:rPr>
          <w:rFonts w:cstheme="minorHAnsi"/>
          <w:lang w:val="en-US"/>
        </w:rPr>
        <w:t xml:space="preserve">, </w:t>
      </w:r>
      <w:proofErr w:type="spellStart"/>
      <w:r w:rsidRPr="00D92C54">
        <w:rPr>
          <w:rFonts w:cstheme="minorHAnsi"/>
          <w:lang w:val="en-US"/>
        </w:rPr>
        <w:t>Tendalti</w:t>
      </w:r>
      <w:proofErr w:type="spellEnd"/>
      <w:r w:rsidRPr="00D92C54">
        <w:rPr>
          <w:rFonts w:cstheme="minorHAnsi"/>
          <w:lang w:val="en-US"/>
        </w:rPr>
        <w:t xml:space="preserve">, and Um </w:t>
      </w:r>
      <w:proofErr w:type="spellStart"/>
      <w:r w:rsidRPr="00D92C54">
        <w:rPr>
          <w:rFonts w:cstheme="minorHAnsi"/>
          <w:lang w:val="en-US"/>
        </w:rPr>
        <w:t>Rimta</w:t>
      </w:r>
      <w:proofErr w:type="spellEnd"/>
      <w:r w:rsidRPr="00D92C54">
        <w:rPr>
          <w:rFonts w:cstheme="minorHAnsi"/>
          <w:lang w:val="en-US"/>
        </w:rPr>
        <w:t xml:space="preserve"> localities. </w:t>
      </w:r>
      <w:r w:rsidR="0019320F">
        <w:rPr>
          <w:rFonts w:cstheme="minorHAnsi"/>
          <w:lang w:val="en-US"/>
        </w:rPr>
        <w:t xml:space="preserve">According to a recent </w:t>
      </w:r>
      <w:r w:rsidR="00F72C52">
        <w:rPr>
          <w:rFonts w:cstheme="minorHAnsi"/>
          <w:lang w:val="en-US"/>
        </w:rPr>
        <w:t>household</w:t>
      </w:r>
      <w:r w:rsidR="0019320F">
        <w:rPr>
          <w:rFonts w:cstheme="minorHAnsi"/>
          <w:lang w:val="en-US"/>
        </w:rPr>
        <w:t xml:space="preserve"> survey conducted in the state, m</w:t>
      </w:r>
      <w:r w:rsidRPr="00D92C54">
        <w:rPr>
          <w:rFonts w:cstheme="minorHAnsi"/>
          <w:lang w:val="en-US"/>
        </w:rPr>
        <w:t xml:space="preserve">ost displaced households are currently seeking shelter with relatives in the host community (52%), while others are seeking shelter in camp-like settlements (30%), rented accommodation (9 %), </w:t>
      </w:r>
      <w:r w:rsidRPr="00D92C54">
        <w:rPr>
          <w:rFonts w:cstheme="minorHAnsi"/>
          <w:lang w:val="en-US"/>
        </w:rPr>
        <w:lastRenderedPageBreak/>
        <w:t>in schools or other public buildings (5%), in open area gathering sites (3%), and in improvised or critical shelters.</w:t>
      </w:r>
    </w:p>
    <w:p w14:paraId="6A14DC6C" w14:textId="60E06EAD" w:rsidR="00967735" w:rsidRPr="004C74F0" w:rsidRDefault="00967735" w:rsidP="00AD5304">
      <w:pPr>
        <w:shd w:val="clear" w:color="auto" w:fill="FFFFFF" w:themeFill="background1"/>
        <w:jc w:val="both"/>
        <w:rPr>
          <w:rFonts w:cstheme="minorHAnsi"/>
          <w:b/>
          <w:bCs/>
          <w:color w:val="5B9BD5" w:themeColor="accent1"/>
          <w:lang w:val="en-US"/>
        </w:rPr>
      </w:pPr>
      <w:r w:rsidRPr="00D60BE9">
        <w:rPr>
          <w:rFonts w:cstheme="minorHAnsi"/>
          <w:b/>
          <w:bCs/>
          <w:color w:val="5B9BD5" w:themeColor="accent1"/>
          <w:lang w:val="en-US"/>
        </w:rPr>
        <w:t>EIIP Methods</w:t>
      </w:r>
    </w:p>
    <w:p w14:paraId="4E2C8297" w14:textId="3102BBE4" w:rsidR="005E1C33" w:rsidRPr="005E1C33" w:rsidRDefault="00967735" w:rsidP="00AD5304">
      <w:pPr>
        <w:shd w:val="clear" w:color="auto" w:fill="FFFFFF" w:themeFill="background1"/>
        <w:jc w:val="both"/>
        <w:rPr>
          <w:rFonts w:cstheme="minorHAnsi"/>
          <w:lang w:val="en-US"/>
        </w:rPr>
      </w:pPr>
      <w:r w:rsidRPr="00D60BE9">
        <w:rPr>
          <w:rFonts w:cstheme="minorHAnsi"/>
        </w:rPr>
        <w:t xml:space="preserve">The EIIP </w:t>
      </w:r>
      <w:r w:rsidR="005E1C33">
        <w:rPr>
          <w:rFonts w:cstheme="minorHAnsi"/>
        </w:rPr>
        <w:t xml:space="preserve">works entail employment-intensive and local resource-based approaches to produce public assets in a range of sectors such as road construction and maintenance, water and drainage, irrigation infrastructure, and soil conservation. The EIIP </w:t>
      </w:r>
      <w:r w:rsidRPr="00D60BE9">
        <w:rPr>
          <w:rFonts w:cstheme="minorHAnsi"/>
        </w:rPr>
        <w:t>approach offers a cost-effective solution to deliver to rural community’s access to water and health facilities while generating a high demand for labour during implementation. It is of paramount importance therefore to demonstrate the viability of the approach through actual implementation and delivery of the priority infrastructure assets identified by the ILO in consultation with the national stakeholders.</w:t>
      </w:r>
      <w:r>
        <w:rPr>
          <w:rFonts w:cstheme="minorHAnsi"/>
        </w:rPr>
        <w:t xml:space="preserve"> </w:t>
      </w:r>
      <w:r w:rsidRPr="00D60BE9">
        <w:rPr>
          <w:rFonts w:cstheme="minorHAnsi"/>
          <w:lang w:val="en-US"/>
        </w:rPr>
        <w:t xml:space="preserve">The ILO’s interventions thus aim to maximize </w:t>
      </w:r>
      <w:proofErr w:type="spellStart"/>
      <w:r w:rsidRPr="00D60BE9">
        <w:rPr>
          <w:rFonts w:cstheme="minorHAnsi"/>
          <w:lang w:val="en-US"/>
        </w:rPr>
        <w:t>labour</w:t>
      </w:r>
      <w:proofErr w:type="spellEnd"/>
      <w:r w:rsidRPr="00D60BE9">
        <w:rPr>
          <w:rFonts w:cstheme="minorHAnsi"/>
          <w:lang w:val="en-US"/>
        </w:rPr>
        <w:t xml:space="preserve"> intensity (</w:t>
      </w:r>
      <w:proofErr w:type="gramStart"/>
      <w:r w:rsidRPr="00D60BE9">
        <w:rPr>
          <w:rFonts w:cstheme="minorHAnsi"/>
          <w:lang w:val="en-US"/>
        </w:rPr>
        <w:t>i.e.</w:t>
      </w:r>
      <w:proofErr w:type="gramEnd"/>
      <w:r w:rsidRPr="00D60BE9">
        <w:rPr>
          <w:rFonts w:cstheme="minorHAnsi"/>
          <w:lang w:val="en-US"/>
        </w:rPr>
        <w:t xml:space="preserve"> the ratio of </w:t>
      </w:r>
      <w:proofErr w:type="spellStart"/>
      <w:r w:rsidRPr="00D60BE9">
        <w:rPr>
          <w:rFonts w:cstheme="minorHAnsi"/>
          <w:lang w:val="en-US"/>
        </w:rPr>
        <w:t>labour</w:t>
      </w:r>
      <w:proofErr w:type="spellEnd"/>
      <w:r w:rsidRPr="00D60BE9">
        <w:rPr>
          <w:rFonts w:cstheme="minorHAnsi"/>
          <w:lang w:val="en-US"/>
        </w:rPr>
        <w:t xml:space="preserve"> inputs in comparison to capital inputs) of the infrastructure rehabilitation works without compromising technical standards. Through the approach, the intervention can equally generate much needed income, job, and skills development opportunities to as many project beneficiaries as possible. </w:t>
      </w:r>
    </w:p>
    <w:p w14:paraId="3F007FA9" w14:textId="446ACA20" w:rsidR="00636B10" w:rsidRPr="003359D1" w:rsidRDefault="00636B10" w:rsidP="00AD5304">
      <w:pPr>
        <w:pStyle w:val="Heading2"/>
        <w:shd w:val="clear" w:color="auto" w:fill="FFFFFF" w:themeFill="background1"/>
      </w:pPr>
      <w:r w:rsidRPr="003359D1">
        <w:t>OVERALL OBJECTIVE</w:t>
      </w:r>
      <w:r>
        <w:t>S</w:t>
      </w:r>
    </w:p>
    <w:p w14:paraId="734B2549" w14:textId="26F0DD3B" w:rsidR="004C74F0" w:rsidRPr="004C74F0" w:rsidRDefault="004C74F0" w:rsidP="00AD5304">
      <w:pPr>
        <w:shd w:val="clear" w:color="auto" w:fill="FFFFFF" w:themeFill="background1"/>
        <w:jc w:val="both"/>
        <w:rPr>
          <w:rFonts w:cstheme="minorHAnsi"/>
        </w:rPr>
      </w:pPr>
      <w:r w:rsidRPr="00D60BE9">
        <w:rPr>
          <w:rFonts w:cstheme="minorHAnsi"/>
        </w:rPr>
        <w:t xml:space="preserve">The main objective of this </w:t>
      </w:r>
      <w:r>
        <w:rPr>
          <w:rFonts w:cstheme="minorHAnsi"/>
        </w:rPr>
        <w:t>TOR</w:t>
      </w:r>
      <w:r w:rsidRPr="00D60BE9">
        <w:rPr>
          <w:rFonts w:cstheme="minorHAnsi"/>
        </w:rPr>
        <w:t xml:space="preserve"> is to</w:t>
      </w:r>
      <w:r>
        <w:rPr>
          <w:rFonts w:cstheme="minorHAnsi"/>
        </w:rPr>
        <w:t xml:space="preserve"> contract a</w:t>
      </w:r>
      <w:r w:rsidR="00C02084">
        <w:rPr>
          <w:rFonts w:cstheme="minorHAnsi"/>
        </w:rPr>
        <w:t>n implementing partner</w:t>
      </w:r>
      <w:r>
        <w:rPr>
          <w:rFonts w:cstheme="minorHAnsi"/>
        </w:rPr>
        <w:t xml:space="preserve"> </w:t>
      </w:r>
      <w:r w:rsidR="00E2040D">
        <w:rPr>
          <w:rFonts w:cstheme="minorHAnsi"/>
        </w:rPr>
        <w:t xml:space="preserve">to </w:t>
      </w:r>
      <w:r w:rsidRPr="00D60BE9">
        <w:rPr>
          <w:rFonts w:cstheme="minorHAnsi"/>
        </w:rPr>
        <w:t>monitor</w:t>
      </w:r>
      <w:r w:rsidR="00C02084">
        <w:rPr>
          <w:rFonts w:cstheme="minorHAnsi"/>
        </w:rPr>
        <w:t xml:space="preserve"> </w:t>
      </w:r>
      <w:r>
        <w:rPr>
          <w:rFonts w:cstheme="minorHAnsi"/>
        </w:rPr>
        <w:t xml:space="preserve">and supervise </w:t>
      </w:r>
      <w:r w:rsidRPr="00D60BE9">
        <w:rPr>
          <w:rFonts w:cstheme="minorHAnsi"/>
        </w:rPr>
        <w:t xml:space="preserve">the EIIP </w:t>
      </w:r>
      <w:r>
        <w:rPr>
          <w:rFonts w:cstheme="minorHAnsi"/>
        </w:rPr>
        <w:t>projects</w:t>
      </w:r>
      <w:r w:rsidRPr="00D60BE9">
        <w:rPr>
          <w:rFonts w:cstheme="minorHAnsi"/>
        </w:rPr>
        <w:t>/contracts to be undertaken by local contractors in</w:t>
      </w:r>
      <w:r w:rsidR="00C02084">
        <w:rPr>
          <w:rFonts w:cstheme="minorHAnsi"/>
        </w:rPr>
        <w:t xml:space="preserve"> Al Salam</w:t>
      </w:r>
      <w:r w:rsidR="00AD11DD">
        <w:rPr>
          <w:rFonts w:cstheme="minorHAnsi"/>
          <w:lang w:val="en-US"/>
        </w:rPr>
        <w:t xml:space="preserve"> and</w:t>
      </w:r>
      <w:r w:rsidR="00AA51BB">
        <w:rPr>
          <w:rFonts w:cstheme="minorHAnsi"/>
          <w:lang w:val="en-US"/>
        </w:rPr>
        <w:t xml:space="preserve"> </w:t>
      </w:r>
      <w:proofErr w:type="spellStart"/>
      <w:r w:rsidR="00AA51BB">
        <w:rPr>
          <w:rFonts w:cstheme="minorHAnsi"/>
          <w:lang w:val="en-US"/>
        </w:rPr>
        <w:t>Al</w:t>
      </w:r>
      <w:r w:rsidR="00C02084">
        <w:rPr>
          <w:rFonts w:cstheme="minorHAnsi"/>
          <w:lang w:val="en-US"/>
        </w:rPr>
        <w:t>jabalain</w:t>
      </w:r>
      <w:proofErr w:type="spellEnd"/>
      <w:r w:rsidR="00AD11DD">
        <w:rPr>
          <w:rFonts w:cstheme="minorHAnsi"/>
          <w:lang w:val="en-US"/>
        </w:rPr>
        <w:t xml:space="preserve"> localities</w:t>
      </w:r>
      <w:r>
        <w:rPr>
          <w:rFonts w:cstheme="minorHAnsi"/>
        </w:rPr>
        <w:t xml:space="preserve"> in </w:t>
      </w:r>
      <w:r w:rsidR="00AA51BB">
        <w:rPr>
          <w:rFonts w:cstheme="minorHAnsi"/>
          <w:lang w:val="en-US"/>
        </w:rPr>
        <w:t>White Nile</w:t>
      </w:r>
      <w:r w:rsidR="00AD11DD">
        <w:rPr>
          <w:rFonts w:cstheme="minorHAnsi"/>
          <w:lang w:val="en-US"/>
        </w:rPr>
        <w:t xml:space="preserve"> </w:t>
      </w:r>
      <w:r>
        <w:rPr>
          <w:rFonts w:cstheme="minorHAnsi"/>
        </w:rPr>
        <w:t>State</w:t>
      </w:r>
      <w:r w:rsidRPr="00D60BE9">
        <w:rPr>
          <w:rFonts w:cstheme="minorHAnsi"/>
        </w:rPr>
        <w:t xml:space="preserve">. </w:t>
      </w:r>
      <w:r w:rsidR="00905AB5">
        <w:rPr>
          <w:rFonts w:cstheme="minorHAnsi"/>
        </w:rPr>
        <w:t xml:space="preserve">The bidding for these projects will be open for </w:t>
      </w:r>
      <w:r w:rsidR="00905AB5" w:rsidRPr="00905AB5">
        <w:rPr>
          <w:rFonts w:cstheme="minorHAnsi"/>
        </w:rPr>
        <w:t>contractors who have successfully</w:t>
      </w:r>
      <w:r w:rsidR="00905AB5">
        <w:rPr>
          <w:rFonts w:cstheme="minorHAnsi"/>
        </w:rPr>
        <w:t xml:space="preserve"> completed the </w:t>
      </w:r>
      <w:r w:rsidR="00905AB5" w:rsidRPr="00905AB5">
        <w:rPr>
          <w:rFonts w:cstheme="minorHAnsi"/>
        </w:rPr>
        <w:t>Employment Intensive Investment Program (EIIP) training provided by the ILO.</w:t>
      </w:r>
    </w:p>
    <w:p w14:paraId="2BFF11C9" w14:textId="0BA9663F" w:rsidR="00F72C52" w:rsidRDefault="004C74F0" w:rsidP="00AD5304">
      <w:pPr>
        <w:shd w:val="clear" w:color="auto" w:fill="FFFFFF" w:themeFill="background1"/>
        <w:jc w:val="both"/>
        <w:rPr>
          <w:rFonts w:cstheme="minorHAnsi"/>
          <w:b/>
          <w:lang w:val="en-US"/>
        </w:rPr>
      </w:pPr>
      <w:r w:rsidRPr="00D60BE9">
        <w:rPr>
          <w:rFonts w:cstheme="minorHAnsi"/>
          <w:lang w:val="en-US"/>
        </w:rPr>
        <w:t xml:space="preserve">The </w:t>
      </w:r>
      <w:r>
        <w:rPr>
          <w:rFonts w:cstheme="minorHAnsi"/>
          <w:lang w:val="en-US"/>
        </w:rPr>
        <w:t xml:space="preserve">ILO </w:t>
      </w:r>
      <w:r w:rsidRPr="00D60BE9">
        <w:rPr>
          <w:rFonts w:cstheme="minorHAnsi"/>
          <w:lang w:val="en-US"/>
        </w:rPr>
        <w:t>PROSPECTS Sudan</w:t>
      </w:r>
      <w:r w:rsidR="004D26CE">
        <w:rPr>
          <w:rFonts w:cstheme="minorHAnsi"/>
          <w:lang w:val="en-US"/>
        </w:rPr>
        <w:t xml:space="preserve"> has identified and selected the </w:t>
      </w:r>
      <w:r w:rsidRPr="00D60BE9">
        <w:rPr>
          <w:rFonts w:cstheme="minorHAnsi"/>
          <w:lang w:val="en-US"/>
        </w:rPr>
        <w:t xml:space="preserve">projects that </w:t>
      </w:r>
      <w:r w:rsidR="008B068A">
        <w:rPr>
          <w:rFonts w:cstheme="minorHAnsi"/>
          <w:lang w:val="en-US"/>
        </w:rPr>
        <w:t>will be executed in</w:t>
      </w:r>
      <w:r w:rsidR="00AD11DD">
        <w:rPr>
          <w:rFonts w:cstheme="minorHAnsi"/>
          <w:lang w:val="en-US"/>
        </w:rPr>
        <w:t xml:space="preserve"> </w:t>
      </w:r>
      <w:r w:rsidR="00F72C52">
        <w:rPr>
          <w:rFonts w:cstheme="minorHAnsi"/>
          <w:lang w:val="en-US"/>
        </w:rPr>
        <w:t>White Nile</w:t>
      </w:r>
      <w:r w:rsidR="008B068A">
        <w:rPr>
          <w:rFonts w:cstheme="minorHAnsi"/>
        </w:rPr>
        <w:t xml:space="preserve"> state</w:t>
      </w:r>
      <w:r w:rsidRPr="00D60BE9">
        <w:rPr>
          <w:rFonts w:cstheme="minorHAnsi"/>
          <w:lang w:val="en-US"/>
        </w:rPr>
        <w:t>. The</w:t>
      </w:r>
      <w:r>
        <w:rPr>
          <w:rFonts w:cstheme="minorHAnsi"/>
          <w:lang w:val="en-US"/>
        </w:rPr>
        <w:t xml:space="preserve"> </w:t>
      </w:r>
      <w:r w:rsidRPr="00D60BE9">
        <w:rPr>
          <w:rFonts w:cstheme="minorHAnsi"/>
          <w:lang w:val="en-US"/>
        </w:rPr>
        <w:t>se</w:t>
      </w:r>
      <w:r>
        <w:rPr>
          <w:rFonts w:cstheme="minorHAnsi"/>
          <w:lang w:val="en-US"/>
        </w:rPr>
        <w:t>lected projects</w:t>
      </w:r>
      <w:r w:rsidRPr="00D60BE9">
        <w:rPr>
          <w:rFonts w:cstheme="minorHAnsi"/>
          <w:lang w:val="en-US"/>
        </w:rPr>
        <w:t xml:space="preserve"> </w:t>
      </w:r>
      <w:proofErr w:type="gramStart"/>
      <w:r w:rsidRPr="00D60BE9">
        <w:rPr>
          <w:rFonts w:cstheme="minorHAnsi"/>
          <w:lang w:val="en-US"/>
        </w:rPr>
        <w:t>are</w:t>
      </w:r>
      <w:r>
        <w:rPr>
          <w:rFonts w:cstheme="minorHAnsi"/>
          <w:b/>
          <w:lang w:val="en-US"/>
        </w:rPr>
        <w:t>:</w:t>
      </w:r>
      <w:proofErr w:type="gramEnd"/>
      <w:r>
        <w:rPr>
          <w:rFonts w:cstheme="minorHAnsi"/>
          <w:b/>
          <w:lang w:val="en-US"/>
        </w:rPr>
        <w:t xml:space="preserve"> </w:t>
      </w:r>
      <w:r w:rsidR="00F72C52">
        <w:rPr>
          <w:rFonts w:cstheme="minorHAnsi"/>
          <w:b/>
          <w:lang w:val="en-US"/>
        </w:rPr>
        <w:t>construction/</w:t>
      </w:r>
      <w:r w:rsidRPr="00717A1E">
        <w:rPr>
          <w:rFonts w:cstheme="minorHAnsi"/>
          <w:b/>
          <w:lang w:val="en-US"/>
        </w:rPr>
        <w:t>rehabilitation</w:t>
      </w:r>
      <w:r>
        <w:rPr>
          <w:rFonts w:cstheme="minorHAnsi"/>
          <w:b/>
          <w:lang w:val="en-US"/>
        </w:rPr>
        <w:t xml:space="preserve"> works in </w:t>
      </w:r>
      <w:r w:rsidR="00F72C52">
        <w:rPr>
          <w:rFonts w:cstheme="minorHAnsi"/>
          <w:b/>
          <w:lang w:val="en-US"/>
        </w:rPr>
        <w:t xml:space="preserve">two secondary </w:t>
      </w:r>
      <w:r>
        <w:rPr>
          <w:rFonts w:cstheme="minorHAnsi"/>
          <w:b/>
          <w:lang w:val="en-US"/>
        </w:rPr>
        <w:t xml:space="preserve">schools, </w:t>
      </w:r>
      <w:r w:rsidRPr="00D37CCC">
        <w:rPr>
          <w:rFonts w:cstheme="minorHAnsi"/>
          <w:bCs/>
          <w:lang w:val="en-US"/>
        </w:rPr>
        <w:t xml:space="preserve">and </w:t>
      </w:r>
      <w:r>
        <w:rPr>
          <w:rFonts w:cstheme="minorHAnsi"/>
          <w:b/>
          <w:lang w:val="en-US"/>
        </w:rPr>
        <w:t xml:space="preserve">the construction of </w:t>
      </w:r>
      <w:r w:rsidR="005B2899">
        <w:rPr>
          <w:rFonts w:cstheme="minorHAnsi"/>
          <w:b/>
          <w:lang w:val="en-US"/>
        </w:rPr>
        <w:t>a</w:t>
      </w:r>
      <w:r w:rsidR="00C02084">
        <w:rPr>
          <w:rFonts w:cstheme="minorHAnsi"/>
          <w:b/>
          <w:lang w:val="en-US"/>
        </w:rPr>
        <w:t xml:space="preserve"> durable housing/shelter units</w:t>
      </w:r>
      <w:r>
        <w:rPr>
          <w:rFonts w:cstheme="minorHAnsi"/>
          <w:b/>
          <w:lang w:val="en-US"/>
        </w:rPr>
        <w:t xml:space="preserve"> in </w:t>
      </w:r>
      <w:r w:rsidR="00F72C52">
        <w:rPr>
          <w:rFonts w:cstheme="minorHAnsi"/>
          <w:b/>
          <w:lang w:val="en-US"/>
        </w:rPr>
        <w:t xml:space="preserve">As Salam and </w:t>
      </w:r>
      <w:proofErr w:type="spellStart"/>
      <w:r w:rsidR="00CC59CB" w:rsidRPr="00CC59CB">
        <w:rPr>
          <w:rFonts w:cstheme="minorHAnsi"/>
          <w:b/>
          <w:lang w:val="en-US"/>
        </w:rPr>
        <w:t>Aljabalain</w:t>
      </w:r>
      <w:proofErr w:type="spellEnd"/>
      <w:r w:rsidR="00CC59CB">
        <w:rPr>
          <w:rFonts w:cstheme="minorHAnsi"/>
          <w:b/>
          <w:lang w:val="en-US"/>
        </w:rPr>
        <w:t xml:space="preserve"> </w:t>
      </w:r>
      <w:r>
        <w:rPr>
          <w:rFonts w:cstheme="minorHAnsi"/>
          <w:b/>
          <w:lang w:val="en-US"/>
        </w:rPr>
        <w:t>localit</w:t>
      </w:r>
      <w:r w:rsidR="00F72C52">
        <w:rPr>
          <w:rFonts w:cstheme="minorHAnsi"/>
          <w:b/>
          <w:lang w:val="en-US"/>
        </w:rPr>
        <w:t>ies</w:t>
      </w:r>
      <w:r>
        <w:rPr>
          <w:rFonts w:cstheme="minorHAnsi"/>
          <w:b/>
          <w:lang w:val="en-US"/>
        </w:rPr>
        <w:t xml:space="preserve">. </w:t>
      </w:r>
    </w:p>
    <w:p w14:paraId="5F070F0B" w14:textId="001F96FC" w:rsidR="00BF0882" w:rsidRPr="00D60FF8" w:rsidRDefault="00BF0882" w:rsidP="00AD5304">
      <w:pPr>
        <w:shd w:val="clear" w:color="auto" w:fill="FFFFFF" w:themeFill="background1"/>
        <w:jc w:val="both"/>
        <w:rPr>
          <w:rFonts w:cstheme="minorHAnsi"/>
          <w:color w:val="000000" w:themeColor="text1"/>
        </w:rPr>
      </w:pPr>
      <w:r w:rsidRPr="00D60BE9">
        <w:rPr>
          <w:rFonts w:cstheme="minorHAnsi"/>
          <w:color w:val="000000" w:themeColor="text1"/>
        </w:rPr>
        <w:t>The implementing partner</w:t>
      </w:r>
      <w:r w:rsidR="00D60FF8">
        <w:rPr>
          <w:rFonts w:cstheme="minorHAnsi"/>
          <w:color w:val="000000" w:themeColor="text1"/>
        </w:rPr>
        <w:t xml:space="preserve"> </w:t>
      </w:r>
      <w:r w:rsidRPr="00D60BE9">
        <w:rPr>
          <w:rFonts w:cstheme="minorHAnsi"/>
          <w:color w:val="000000" w:themeColor="text1"/>
        </w:rPr>
        <w:t xml:space="preserve">is entrusted with the responsibility for the overall management of the contracts, including worksite visits for monitoring, site supervision, reporting, payment transactions, insurance, test of materials, coordination of the </w:t>
      </w:r>
      <w:r w:rsidR="00B96B6F">
        <w:rPr>
          <w:rFonts w:cstheme="minorHAnsi"/>
          <w:color w:val="000000" w:themeColor="text1"/>
        </w:rPr>
        <w:t>LEDC</w:t>
      </w:r>
      <w:r w:rsidRPr="00D60BE9">
        <w:rPr>
          <w:rFonts w:cstheme="minorHAnsi"/>
          <w:color w:val="000000" w:themeColor="text1"/>
        </w:rPr>
        <w:t xml:space="preserve"> activities, and all that is necessary for successful completion of the assignment. The bidder shall prepare its</w:t>
      </w:r>
      <w:r w:rsidRPr="00EA1125">
        <w:rPr>
          <w:rFonts w:cstheme="minorHAnsi"/>
          <w:color w:val="000000" w:themeColor="text1"/>
        </w:rPr>
        <w:t xml:space="preserve"> detailed budget for provision of the described services as part of the financial proposal. </w:t>
      </w:r>
    </w:p>
    <w:p w14:paraId="116409DB" w14:textId="2042D779" w:rsidR="0043080E" w:rsidRDefault="004C74F0" w:rsidP="00AD5304">
      <w:pPr>
        <w:shd w:val="clear" w:color="auto" w:fill="FFFFFF" w:themeFill="background1"/>
        <w:jc w:val="both"/>
        <w:rPr>
          <w:rFonts w:cstheme="minorHAnsi"/>
          <w:lang w:val="en-US"/>
        </w:rPr>
      </w:pPr>
      <w:r w:rsidRPr="00D60BE9">
        <w:rPr>
          <w:rFonts w:cstheme="minorHAnsi"/>
          <w:lang w:val="en-US"/>
        </w:rPr>
        <w:t>The Implementation Partnership Agreement (IPA) pertains to the site supervision</w:t>
      </w:r>
      <w:r>
        <w:rPr>
          <w:rFonts w:cstheme="minorHAnsi"/>
          <w:lang w:val="en-US"/>
        </w:rPr>
        <w:t xml:space="preserve"> </w:t>
      </w:r>
      <w:r w:rsidRPr="00D60BE9">
        <w:rPr>
          <w:rFonts w:cstheme="minorHAnsi"/>
          <w:lang w:val="en-US"/>
        </w:rPr>
        <w:t>and contracts management support for all</w:t>
      </w:r>
      <w:r>
        <w:rPr>
          <w:rFonts w:cstheme="minorHAnsi"/>
          <w:lang w:val="en-US"/>
        </w:rPr>
        <w:t xml:space="preserve"> EIIP worksites</w:t>
      </w:r>
      <w:r w:rsidRPr="00D60BE9">
        <w:rPr>
          <w:rFonts w:cstheme="minorHAnsi"/>
          <w:lang w:val="en-US"/>
        </w:rPr>
        <w:t xml:space="preserve">. Under this IPA, the implementation partner will be expected to be substantively engaged with the </w:t>
      </w:r>
      <w:r w:rsidR="0043080E">
        <w:rPr>
          <w:rFonts w:cstheme="minorHAnsi"/>
          <w:lang w:val="en-US"/>
        </w:rPr>
        <w:t>local Economic Development Committee</w:t>
      </w:r>
      <w:r>
        <w:rPr>
          <w:rFonts w:cstheme="minorHAnsi"/>
          <w:lang w:val="en-US"/>
        </w:rPr>
        <w:t xml:space="preserve"> </w:t>
      </w:r>
      <w:r w:rsidRPr="00D60BE9">
        <w:rPr>
          <w:rFonts w:cstheme="minorHAnsi"/>
          <w:lang w:val="en-US"/>
        </w:rPr>
        <w:t>(</w:t>
      </w:r>
      <w:r w:rsidR="0043080E">
        <w:rPr>
          <w:rFonts w:cstheme="minorHAnsi"/>
          <w:lang w:val="en-US"/>
        </w:rPr>
        <w:t>LEDC</w:t>
      </w:r>
      <w:r w:rsidRPr="00D60BE9">
        <w:rPr>
          <w:rFonts w:cstheme="minorHAnsi"/>
          <w:lang w:val="en-US"/>
        </w:rPr>
        <w:t xml:space="preserve">). The </w:t>
      </w:r>
      <w:r w:rsidR="0043080E">
        <w:rPr>
          <w:rFonts w:cstheme="minorHAnsi"/>
          <w:lang w:val="en-US"/>
        </w:rPr>
        <w:t>LEDC</w:t>
      </w:r>
      <w:r w:rsidRPr="00D60BE9">
        <w:rPr>
          <w:rFonts w:cstheme="minorHAnsi"/>
          <w:lang w:val="en-US"/>
        </w:rPr>
        <w:t xml:space="preserve"> is comprised of technical representatives from the key institutions</w:t>
      </w:r>
      <w:r w:rsidR="00B96B6F">
        <w:rPr>
          <w:rFonts w:cstheme="minorHAnsi"/>
          <w:lang w:val="en-US"/>
        </w:rPr>
        <w:t xml:space="preserve"> at state level </w:t>
      </w:r>
      <w:r w:rsidRPr="00D60BE9">
        <w:rPr>
          <w:rFonts w:cstheme="minorHAnsi"/>
          <w:lang w:val="en-US"/>
        </w:rPr>
        <w:t>(</w:t>
      </w:r>
      <w:r w:rsidR="0043080E">
        <w:rPr>
          <w:rFonts w:cstheme="minorHAnsi"/>
          <w:lang w:val="en-US"/>
        </w:rPr>
        <w:t>locality administrations</w:t>
      </w:r>
      <w:r w:rsidRPr="00D60BE9">
        <w:rPr>
          <w:rFonts w:cstheme="minorHAnsi"/>
          <w:lang w:val="en-US"/>
        </w:rPr>
        <w:t xml:space="preserve">, </w:t>
      </w:r>
      <w:r w:rsidR="00B96B6F">
        <w:rPr>
          <w:rFonts w:cstheme="minorHAnsi"/>
          <w:lang w:val="en-US"/>
        </w:rPr>
        <w:t xml:space="preserve">line ministries, </w:t>
      </w:r>
      <w:r w:rsidR="0043080E">
        <w:rPr>
          <w:rFonts w:cstheme="minorHAnsi"/>
          <w:lang w:val="en-US"/>
        </w:rPr>
        <w:t>Commission of refugees-COR</w:t>
      </w:r>
      <w:r w:rsidR="00366022">
        <w:rPr>
          <w:rFonts w:cstheme="minorHAnsi"/>
          <w:lang w:val="en-US"/>
        </w:rPr>
        <w:t>,</w:t>
      </w:r>
      <w:r w:rsidRPr="00D60BE9">
        <w:rPr>
          <w:rFonts w:cstheme="minorHAnsi"/>
          <w:lang w:val="en-US"/>
        </w:rPr>
        <w:t xml:space="preserve"> </w:t>
      </w:r>
      <w:r w:rsidR="00B96B6F">
        <w:rPr>
          <w:rFonts w:cstheme="minorHAnsi"/>
          <w:lang w:val="en-US"/>
        </w:rPr>
        <w:t xml:space="preserve">UNICEF, </w:t>
      </w:r>
      <w:r w:rsidR="00B96B6F" w:rsidRPr="00D60BE9">
        <w:rPr>
          <w:rFonts w:cstheme="minorHAnsi"/>
          <w:lang w:val="en-US"/>
        </w:rPr>
        <w:t xml:space="preserve">UNHCR, </w:t>
      </w:r>
      <w:r w:rsidRPr="00D60BE9">
        <w:rPr>
          <w:rFonts w:cstheme="minorHAnsi"/>
          <w:lang w:val="en-US"/>
        </w:rPr>
        <w:t xml:space="preserve">and the </w:t>
      </w:r>
      <w:r w:rsidR="0043080E">
        <w:rPr>
          <w:rFonts w:cstheme="minorHAnsi"/>
          <w:lang w:val="en-US"/>
        </w:rPr>
        <w:t>ILO</w:t>
      </w:r>
      <w:r w:rsidRPr="00D60BE9">
        <w:rPr>
          <w:rFonts w:cstheme="minorHAnsi"/>
          <w:lang w:val="en-US"/>
        </w:rPr>
        <w:t xml:space="preserve">) to steer and advise on the implementation of the various </w:t>
      </w:r>
      <w:r>
        <w:rPr>
          <w:rFonts w:cstheme="minorHAnsi"/>
          <w:lang w:val="en-US"/>
        </w:rPr>
        <w:t>EIIP</w:t>
      </w:r>
      <w:r w:rsidRPr="00D60BE9">
        <w:rPr>
          <w:rFonts w:cstheme="minorHAnsi"/>
          <w:lang w:val="en-US"/>
        </w:rPr>
        <w:t xml:space="preserve"> contracts being undertaken by the local contractors. </w:t>
      </w:r>
    </w:p>
    <w:p w14:paraId="6958F548" w14:textId="6A569EED" w:rsidR="004C74F0" w:rsidRPr="00EA1125" w:rsidRDefault="004C74F0" w:rsidP="00AD5304">
      <w:pPr>
        <w:shd w:val="clear" w:color="auto" w:fill="FFFFFF" w:themeFill="background1"/>
        <w:jc w:val="both"/>
        <w:rPr>
          <w:rFonts w:cstheme="minorHAnsi"/>
        </w:rPr>
      </w:pPr>
      <w:r w:rsidRPr="00D60BE9">
        <w:rPr>
          <w:rFonts w:cstheme="minorHAnsi"/>
          <w:lang w:val="en-US"/>
        </w:rPr>
        <w:t>Specific tasks will include</w:t>
      </w:r>
      <w:r w:rsidRPr="00D60BE9">
        <w:rPr>
          <w:rFonts w:cstheme="minorHAnsi"/>
        </w:rPr>
        <w:t xml:space="preserve"> the following:</w:t>
      </w:r>
    </w:p>
    <w:p w14:paraId="000A2227" w14:textId="0CD23CCD" w:rsidR="00366022" w:rsidRPr="00EA1125" w:rsidRDefault="00366022" w:rsidP="00AD5304">
      <w:pPr>
        <w:pStyle w:val="ListParagraph"/>
        <w:numPr>
          <w:ilvl w:val="0"/>
          <w:numId w:val="14"/>
        </w:numPr>
        <w:shd w:val="clear" w:color="auto" w:fill="FFFFFF" w:themeFill="background1"/>
        <w:spacing w:after="0" w:line="240" w:lineRule="auto"/>
        <w:contextualSpacing w:val="0"/>
        <w:jc w:val="both"/>
        <w:rPr>
          <w:rFonts w:cstheme="minorHAnsi"/>
        </w:rPr>
      </w:pPr>
      <w:r w:rsidRPr="00EA1125">
        <w:rPr>
          <w:rFonts w:cstheme="minorHAnsi"/>
        </w:rPr>
        <w:t>Prepare the contract documents for the</w:t>
      </w:r>
      <w:r>
        <w:rPr>
          <w:rFonts w:cstheme="minorHAnsi"/>
        </w:rPr>
        <w:t xml:space="preserve"> EIIP worksites</w:t>
      </w:r>
      <w:r w:rsidRPr="00EA1125">
        <w:rPr>
          <w:rFonts w:cstheme="minorHAnsi"/>
        </w:rPr>
        <w:t xml:space="preserve"> in liaison with</w:t>
      </w:r>
      <w:r w:rsidR="00316723">
        <w:rPr>
          <w:rFonts w:cstheme="minorHAnsi"/>
        </w:rPr>
        <w:t xml:space="preserve"> the</w:t>
      </w:r>
      <w:r w:rsidRPr="00EA1125">
        <w:rPr>
          <w:rFonts w:cstheme="minorHAnsi"/>
        </w:rPr>
        <w:t xml:space="preserve"> ILO, ensuring that relevant clauses on decent work requirements are adequately captured</w:t>
      </w:r>
      <w:r>
        <w:rPr>
          <w:rFonts w:cstheme="minorHAnsi"/>
        </w:rPr>
        <w:t xml:space="preserve">. </w:t>
      </w:r>
    </w:p>
    <w:p w14:paraId="1FCCE798" w14:textId="77777777" w:rsidR="00366022" w:rsidRPr="00EA1125" w:rsidRDefault="00366022" w:rsidP="00AD5304">
      <w:pPr>
        <w:pStyle w:val="ListParagraph"/>
        <w:numPr>
          <w:ilvl w:val="0"/>
          <w:numId w:val="14"/>
        </w:numPr>
        <w:shd w:val="clear" w:color="auto" w:fill="FFFFFF" w:themeFill="background1"/>
        <w:spacing w:after="0" w:line="240" w:lineRule="auto"/>
        <w:contextualSpacing w:val="0"/>
        <w:jc w:val="both"/>
        <w:rPr>
          <w:rFonts w:cstheme="minorHAnsi"/>
        </w:rPr>
      </w:pPr>
      <w:r w:rsidRPr="00EA1125">
        <w:rPr>
          <w:rFonts w:cstheme="minorHAnsi"/>
        </w:rPr>
        <w:t xml:space="preserve">Assign contract packages to the contractors in a transparent manner and sub-contract the </w:t>
      </w:r>
      <w:r>
        <w:rPr>
          <w:rFonts w:cstheme="minorHAnsi"/>
        </w:rPr>
        <w:t>EIIP</w:t>
      </w:r>
      <w:r w:rsidRPr="00EA1125">
        <w:rPr>
          <w:rFonts w:cstheme="minorHAnsi"/>
        </w:rPr>
        <w:t xml:space="preserve"> contractors</w:t>
      </w:r>
      <w:r>
        <w:rPr>
          <w:rFonts w:cstheme="minorHAnsi"/>
        </w:rPr>
        <w:t xml:space="preserve"> </w:t>
      </w:r>
      <w:r w:rsidRPr="00EA1125">
        <w:rPr>
          <w:rFonts w:cstheme="minorHAnsi"/>
        </w:rPr>
        <w:t xml:space="preserve">that will </w:t>
      </w:r>
      <w:r>
        <w:rPr>
          <w:rFonts w:cstheme="minorHAnsi"/>
        </w:rPr>
        <w:t xml:space="preserve">execute works </w:t>
      </w:r>
      <w:r w:rsidRPr="00EA1125">
        <w:rPr>
          <w:rFonts w:cstheme="minorHAnsi"/>
        </w:rPr>
        <w:t xml:space="preserve">within the </w:t>
      </w:r>
      <w:r>
        <w:rPr>
          <w:rFonts w:cstheme="minorHAnsi"/>
        </w:rPr>
        <w:t>stipulated</w:t>
      </w:r>
      <w:r w:rsidRPr="00EA1125">
        <w:rPr>
          <w:rFonts w:cstheme="minorHAnsi"/>
        </w:rPr>
        <w:t xml:space="preserve"> scope of work and budget presented in the BOQs and hand over the sites to the contractors</w:t>
      </w:r>
      <w:r>
        <w:rPr>
          <w:rFonts w:cstheme="minorHAnsi"/>
        </w:rPr>
        <w:t xml:space="preserve">. </w:t>
      </w:r>
    </w:p>
    <w:p w14:paraId="12DD7941" w14:textId="77777777" w:rsidR="00366022" w:rsidRPr="00EA1125" w:rsidRDefault="00366022" w:rsidP="00AD5304">
      <w:pPr>
        <w:pStyle w:val="ListParagraph"/>
        <w:numPr>
          <w:ilvl w:val="0"/>
          <w:numId w:val="14"/>
        </w:numPr>
        <w:shd w:val="clear" w:color="auto" w:fill="FFFFFF" w:themeFill="background1"/>
        <w:spacing w:after="0" w:line="240" w:lineRule="auto"/>
        <w:contextualSpacing w:val="0"/>
        <w:jc w:val="both"/>
        <w:rPr>
          <w:rFonts w:cstheme="minorHAnsi"/>
        </w:rPr>
      </w:pPr>
      <w:r w:rsidRPr="00EA1125">
        <w:rPr>
          <w:rFonts w:cstheme="minorHAnsi"/>
        </w:rPr>
        <w:t xml:space="preserve">Support the </w:t>
      </w:r>
      <w:r>
        <w:rPr>
          <w:rFonts w:cstheme="minorHAnsi"/>
        </w:rPr>
        <w:t xml:space="preserve">selected </w:t>
      </w:r>
      <w:r w:rsidRPr="00EA1125">
        <w:rPr>
          <w:rFonts w:cstheme="minorHAnsi"/>
        </w:rPr>
        <w:t>contractors in drafting and executing any sub-contract</w:t>
      </w:r>
      <w:r>
        <w:rPr>
          <w:rFonts w:cstheme="minorHAnsi"/>
        </w:rPr>
        <w:t xml:space="preserve"> works </w:t>
      </w:r>
      <w:r w:rsidRPr="00EA1125">
        <w:rPr>
          <w:rFonts w:cstheme="minorHAnsi"/>
        </w:rPr>
        <w:t xml:space="preserve">that they may need to </w:t>
      </w:r>
      <w:proofErr w:type="gramStart"/>
      <w:r w:rsidRPr="00EA1125">
        <w:rPr>
          <w:rFonts w:cstheme="minorHAnsi"/>
        </w:rPr>
        <w:t>enter into</w:t>
      </w:r>
      <w:proofErr w:type="gramEnd"/>
      <w:r w:rsidRPr="00EA1125">
        <w:rPr>
          <w:rFonts w:cstheme="minorHAnsi"/>
        </w:rPr>
        <w:t xml:space="preserve"> for effective delivery of the project.</w:t>
      </w:r>
    </w:p>
    <w:p w14:paraId="55817B38" w14:textId="77777777" w:rsidR="00366022" w:rsidRPr="00EA1125" w:rsidRDefault="00366022" w:rsidP="00AD5304">
      <w:pPr>
        <w:pStyle w:val="ListParagraph"/>
        <w:numPr>
          <w:ilvl w:val="0"/>
          <w:numId w:val="14"/>
        </w:numPr>
        <w:shd w:val="clear" w:color="auto" w:fill="FFFFFF" w:themeFill="background1"/>
        <w:spacing w:after="0" w:line="240" w:lineRule="auto"/>
        <w:contextualSpacing w:val="0"/>
        <w:jc w:val="both"/>
        <w:rPr>
          <w:rFonts w:cstheme="minorHAnsi"/>
        </w:rPr>
      </w:pPr>
      <w:r w:rsidRPr="00EA1125">
        <w:rPr>
          <w:rFonts w:cstheme="minorHAnsi"/>
        </w:rPr>
        <w:t>Deve</w:t>
      </w:r>
      <w:r>
        <w:rPr>
          <w:rFonts w:cstheme="minorHAnsi"/>
        </w:rPr>
        <w:t xml:space="preserve">loping work plans with the selected EIIP contractors in line with </w:t>
      </w:r>
      <w:r w:rsidRPr="00EA1125">
        <w:rPr>
          <w:rFonts w:cstheme="minorHAnsi"/>
        </w:rPr>
        <w:t>activities specified in each BOQ</w:t>
      </w:r>
      <w:r>
        <w:rPr>
          <w:rFonts w:cstheme="minorHAnsi"/>
        </w:rPr>
        <w:t xml:space="preserve">. </w:t>
      </w:r>
    </w:p>
    <w:p w14:paraId="6360ED8E" w14:textId="76DA3B16" w:rsidR="00366022" w:rsidRPr="00EA1125" w:rsidRDefault="00366022" w:rsidP="00AD5304">
      <w:pPr>
        <w:pStyle w:val="ListParagraph"/>
        <w:numPr>
          <w:ilvl w:val="0"/>
          <w:numId w:val="14"/>
        </w:numPr>
        <w:shd w:val="clear" w:color="auto" w:fill="FFFFFF" w:themeFill="background1"/>
        <w:spacing w:after="0" w:line="240" w:lineRule="auto"/>
        <w:contextualSpacing w:val="0"/>
        <w:jc w:val="both"/>
        <w:rPr>
          <w:rFonts w:cstheme="minorHAnsi"/>
        </w:rPr>
      </w:pPr>
      <w:r w:rsidRPr="00EA1125">
        <w:rPr>
          <w:rFonts w:cstheme="minorHAnsi"/>
        </w:rPr>
        <w:lastRenderedPageBreak/>
        <w:t xml:space="preserve">Monitoring of </w:t>
      </w:r>
      <w:r>
        <w:rPr>
          <w:rFonts w:cstheme="minorHAnsi"/>
        </w:rPr>
        <w:t xml:space="preserve">the selected EIIP contractors </w:t>
      </w:r>
      <w:r w:rsidRPr="00EA1125">
        <w:rPr>
          <w:rFonts w:cstheme="minorHAnsi"/>
        </w:rPr>
        <w:t>(and their sub-contractors) on site in their application of the EIIP theoretical training as per the contract documents, including that of Occupational Safety and Health (OSH) standards in the context of the COVID-19 crisi</w:t>
      </w:r>
      <w:r w:rsidR="00316723">
        <w:rPr>
          <w:rFonts w:cstheme="minorHAnsi"/>
        </w:rPr>
        <w:t>s</w:t>
      </w:r>
      <w:r w:rsidRPr="00EA1125">
        <w:rPr>
          <w:rFonts w:cstheme="minorHAnsi"/>
        </w:rPr>
        <w:t>, as well as other social and environmental safeguards as specified in the contract</w:t>
      </w:r>
      <w:r>
        <w:rPr>
          <w:rFonts w:cstheme="minorHAnsi"/>
        </w:rPr>
        <w:t xml:space="preserve"> </w:t>
      </w:r>
      <w:r w:rsidRPr="00EA1125">
        <w:rPr>
          <w:rFonts w:cstheme="minorHAnsi"/>
        </w:rPr>
        <w:t>template</w:t>
      </w:r>
      <w:r>
        <w:rPr>
          <w:rFonts w:cstheme="minorHAnsi"/>
        </w:rPr>
        <w:t xml:space="preserve"> </w:t>
      </w:r>
      <w:r w:rsidRPr="00EA1125">
        <w:rPr>
          <w:rFonts w:cstheme="minorHAnsi"/>
        </w:rPr>
        <w:t>(to be agreed between the ILO and the implementation partner)</w:t>
      </w:r>
      <w:r>
        <w:rPr>
          <w:rFonts w:cstheme="minorHAnsi"/>
        </w:rPr>
        <w:t xml:space="preserve">. </w:t>
      </w:r>
    </w:p>
    <w:p w14:paraId="1886551A" w14:textId="31698A99" w:rsidR="00366022" w:rsidRPr="00EA1125" w:rsidRDefault="00366022" w:rsidP="00AD5304">
      <w:pPr>
        <w:pStyle w:val="ListParagraph"/>
        <w:numPr>
          <w:ilvl w:val="0"/>
          <w:numId w:val="14"/>
        </w:numPr>
        <w:shd w:val="clear" w:color="auto" w:fill="FFFFFF" w:themeFill="background1"/>
        <w:spacing w:after="0" w:line="240" w:lineRule="auto"/>
        <w:contextualSpacing w:val="0"/>
        <w:jc w:val="both"/>
        <w:rPr>
          <w:rFonts w:cstheme="minorHAnsi"/>
        </w:rPr>
      </w:pPr>
      <w:r w:rsidRPr="00EA1125">
        <w:rPr>
          <w:rFonts w:cstheme="minorHAnsi"/>
        </w:rPr>
        <w:t>Collect data in formats agreed with ILO related to the works in each of</w:t>
      </w:r>
      <w:r>
        <w:rPr>
          <w:rFonts w:cstheme="minorHAnsi"/>
        </w:rPr>
        <w:t xml:space="preserve"> </w:t>
      </w:r>
      <w:r w:rsidR="002F2FB6">
        <w:rPr>
          <w:rFonts w:cstheme="minorHAnsi"/>
        </w:rPr>
        <w:t xml:space="preserve">the </w:t>
      </w:r>
      <w:r>
        <w:rPr>
          <w:rFonts w:cstheme="minorHAnsi"/>
        </w:rPr>
        <w:t>EIIP</w:t>
      </w:r>
      <w:r w:rsidRPr="00EA1125">
        <w:rPr>
          <w:rFonts w:cstheme="minorHAnsi"/>
        </w:rPr>
        <w:t xml:space="preserve"> worksites including the following: </w:t>
      </w:r>
    </w:p>
    <w:p w14:paraId="747B8B3A" w14:textId="77777777" w:rsidR="00366022" w:rsidRPr="00EA1125" w:rsidRDefault="00366022" w:rsidP="00AD5304">
      <w:pPr>
        <w:pStyle w:val="ListParagraph"/>
        <w:shd w:val="clear" w:color="auto" w:fill="FFFFFF" w:themeFill="background1"/>
        <w:ind w:left="1456" w:hanging="16"/>
        <w:jc w:val="both"/>
        <w:rPr>
          <w:rFonts w:cstheme="minorHAnsi"/>
        </w:rPr>
      </w:pPr>
      <w:r w:rsidRPr="00EA1125">
        <w:rPr>
          <w:rFonts w:cstheme="minorHAnsi"/>
        </w:rPr>
        <w:t xml:space="preserve">I) </w:t>
      </w:r>
      <w:r>
        <w:rPr>
          <w:rFonts w:cstheme="minorHAnsi"/>
        </w:rPr>
        <w:t>N</w:t>
      </w:r>
      <w:r w:rsidRPr="00EA1125">
        <w:rPr>
          <w:rFonts w:cstheme="minorHAnsi"/>
        </w:rPr>
        <w:t>umber of workers recruited, disaggregated by the ratio between host communities and forcibly displaced persons (FDPs), occupation, age, and gender</w:t>
      </w:r>
      <w:r>
        <w:rPr>
          <w:rFonts w:cstheme="minorHAnsi"/>
        </w:rPr>
        <w:t xml:space="preserve">. </w:t>
      </w:r>
      <w:r w:rsidRPr="00EA1125">
        <w:rPr>
          <w:rFonts w:cstheme="minorHAnsi"/>
        </w:rPr>
        <w:t xml:space="preserve"> </w:t>
      </w:r>
    </w:p>
    <w:p w14:paraId="42992688" w14:textId="77777777" w:rsidR="00366022" w:rsidRPr="00EA1125" w:rsidRDefault="00366022" w:rsidP="00AD5304">
      <w:pPr>
        <w:pStyle w:val="ListParagraph"/>
        <w:shd w:val="clear" w:color="auto" w:fill="FFFFFF" w:themeFill="background1"/>
        <w:ind w:left="1456" w:hanging="16"/>
        <w:jc w:val="both"/>
        <w:rPr>
          <w:rFonts w:cstheme="minorHAnsi"/>
        </w:rPr>
      </w:pPr>
      <w:r w:rsidRPr="00EA1125">
        <w:rPr>
          <w:rFonts w:cstheme="minorHAnsi"/>
        </w:rPr>
        <w:t xml:space="preserve">II) </w:t>
      </w:r>
      <w:r>
        <w:rPr>
          <w:rFonts w:cstheme="minorHAnsi"/>
        </w:rPr>
        <w:t>N</w:t>
      </w:r>
      <w:r w:rsidRPr="00EA1125">
        <w:rPr>
          <w:rFonts w:cstheme="minorHAnsi"/>
        </w:rPr>
        <w:t>umber of total workdays generated through the work, disaggregated by the ratio between host communities and FDPs, occupation, age, and gender</w:t>
      </w:r>
      <w:r>
        <w:rPr>
          <w:rFonts w:cstheme="minorHAnsi"/>
        </w:rPr>
        <w:t xml:space="preserve">. </w:t>
      </w:r>
    </w:p>
    <w:p w14:paraId="08680FFE" w14:textId="77777777" w:rsidR="00366022" w:rsidRPr="00EA1125" w:rsidRDefault="00366022" w:rsidP="00AD5304">
      <w:pPr>
        <w:pStyle w:val="ListParagraph"/>
        <w:shd w:val="clear" w:color="auto" w:fill="FFFFFF" w:themeFill="background1"/>
        <w:ind w:left="1456" w:hanging="16"/>
        <w:jc w:val="both"/>
        <w:rPr>
          <w:rFonts w:cstheme="minorHAnsi"/>
        </w:rPr>
      </w:pPr>
      <w:r w:rsidRPr="00EA1125">
        <w:rPr>
          <w:rFonts w:cstheme="minorHAnsi"/>
        </w:rPr>
        <w:t xml:space="preserve">III) </w:t>
      </w:r>
      <w:r>
        <w:rPr>
          <w:rFonts w:cstheme="minorHAnsi"/>
        </w:rPr>
        <w:t>T</w:t>
      </w:r>
      <w:r w:rsidRPr="00EA1125">
        <w:rPr>
          <w:rFonts w:cstheme="minorHAnsi"/>
        </w:rPr>
        <w:t>otal wages paid to workers, disaggregated by the ratio between host communities and FDPs, occupation, age</w:t>
      </w:r>
      <w:r>
        <w:rPr>
          <w:rFonts w:cstheme="minorHAnsi"/>
        </w:rPr>
        <w:t xml:space="preserve">, </w:t>
      </w:r>
      <w:r w:rsidRPr="00EA1125">
        <w:rPr>
          <w:rFonts w:cstheme="minorHAnsi"/>
        </w:rPr>
        <w:t xml:space="preserve">and gender. </w:t>
      </w:r>
    </w:p>
    <w:p w14:paraId="1B3A3BEC" w14:textId="77777777" w:rsidR="00366022" w:rsidRPr="00EA1125" w:rsidRDefault="00366022" w:rsidP="00AD5304">
      <w:pPr>
        <w:pStyle w:val="ListParagraph"/>
        <w:shd w:val="clear" w:color="auto" w:fill="FFFFFF" w:themeFill="background1"/>
        <w:ind w:left="1456" w:hanging="16"/>
        <w:jc w:val="both"/>
        <w:rPr>
          <w:rFonts w:cstheme="minorHAnsi"/>
        </w:rPr>
      </w:pPr>
      <w:r w:rsidRPr="00EA1125">
        <w:rPr>
          <w:rFonts w:cstheme="minorHAnsi"/>
        </w:rPr>
        <w:t xml:space="preserve">IV) </w:t>
      </w:r>
      <w:r>
        <w:rPr>
          <w:rFonts w:cstheme="minorHAnsi"/>
        </w:rPr>
        <w:t>W</w:t>
      </w:r>
      <w:r w:rsidRPr="00EA1125">
        <w:rPr>
          <w:rFonts w:cstheme="minorHAnsi"/>
        </w:rPr>
        <w:t>orkers’ selection modalities, including the number of applicants</w:t>
      </w:r>
      <w:r>
        <w:rPr>
          <w:rFonts w:cstheme="minorHAnsi"/>
        </w:rPr>
        <w:t xml:space="preserve">. </w:t>
      </w:r>
    </w:p>
    <w:p w14:paraId="24198C80" w14:textId="77777777" w:rsidR="00366022" w:rsidRPr="00EA1125" w:rsidRDefault="00366022" w:rsidP="00AD5304">
      <w:pPr>
        <w:pStyle w:val="ListParagraph"/>
        <w:numPr>
          <w:ilvl w:val="0"/>
          <w:numId w:val="14"/>
        </w:numPr>
        <w:shd w:val="clear" w:color="auto" w:fill="FFFFFF" w:themeFill="background1"/>
        <w:spacing w:after="0" w:line="240" w:lineRule="auto"/>
        <w:contextualSpacing w:val="0"/>
        <w:jc w:val="both"/>
        <w:rPr>
          <w:rFonts w:cstheme="minorHAnsi"/>
        </w:rPr>
      </w:pPr>
      <w:r w:rsidRPr="00EA1125">
        <w:rPr>
          <w:rFonts w:cstheme="minorHAnsi"/>
        </w:rPr>
        <w:t>Approve works done to specifications and process payment to the contractors and ensuring timely payment to workers contracted through the contractors</w:t>
      </w:r>
      <w:r>
        <w:rPr>
          <w:rFonts w:cstheme="minorHAnsi"/>
        </w:rPr>
        <w:t xml:space="preserve">. </w:t>
      </w:r>
    </w:p>
    <w:p w14:paraId="17CEB93E" w14:textId="4A898030" w:rsidR="00A348BB" w:rsidRDefault="00366022" w:rsidP="00AD5304">
      <w:pPr>
        <w:pStyle w:val="ListParagraph"/>
        <w:numPr>
          <w:ilvl w:val="0"/>
          <w:numId w:val="14"/>
        </w:numPr>
        <w:shd w:val="clear" w:color="auto" w:fill="FFFFFF" w:themeFill="background1"/>
        <w:spacing w:after="0" w:line="240" w:lineRule="auto"/>
        <w:contextualSpacing w:val="0"/>
        <w:jc w:val="both"/>
        <w:rPr>
          <w:rFonts w:cstheme="minorHAnsi"/>
        </w:rPr>
      </w:pPr>
      <w:r w:rsidRPr="00EA1125">
        <w:rPr>
          <w:rFonts w:cstheme="minorHAnsi"/>
        </w:rPr>
        <w:t>Prepare and submit in a timely manner physical progress and financial expenditure reports according to the specified schedules. The physical progress report shall include information on the data sets and disaggregated as stated above.</w:t>
      </w:r>
    </w:p>
    <w:p w14:paraId="18079D56" w14:textId="77777777" w:rsidR="002F2FB6" w:rsidRPr="002F2FB6" w:rsidRDefault="002F2FB6" w:rsidP="00AD5304">
      <w:pPr>
        <w:pStyle w:val="ListParagraph"/>
        <w:shd w:val="clear" w:color="auto" w:fill="FFFFFF" w:themeFill="background1"/>
        <w:spacing w:after="0" w:line="240" w:lineRule="auto"/>
        <w:contextualSpacing w:val="0"/>
        <w:jc w:val="both"/>
        <w:rPr>
          <w:rFonts w:cstheme="minorHAnsi"/>
        </w:rPr>
      </w:pPr>
    </w:p>
    <w:p w14:paraId="472CE160" w14:textId="77777777" w:rsidR="00636B10" w:rsidRPr="003359D1" w:rsidRDefault="00636B10" w:rsidP="00AD5304">
      <w:pPr>
        <w:pStyle w:val="Heading2"/>
        <w:shd w:val="clear" w:color="auto" w:fill="FFFFFF" w:themeFill="background1"/>
      </w:pPr>
      <w:r w:rsidRPr="003359D1">
        <w:t>KEY DELIVERABLES</w:t>
      </w:r>
    </w:p>
    <w:p w14:paraId="1FCF01F6" w14:textId="6AFA5B8F" w:rsidR="00636B10" w:rsidRPr="003359D1" w:rsidRDefault="00636B10" w:rsidP="00AD5304">
      <w:pPr>
        <w:shd w:val="clear" w:color="auto" w:fill="FFFFFF" w:themeFill="background1"/>
        <w:jc w:val="both"/>
      </w:pPr>
      <w:r>
        <w:t>Key deliverables are detailed below:</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498"/>
        <w:gridCol w:w="2610"/>
      </w:tblGrid>
      <w:tr w:rsidR="00636B10" w:rsidRPr="003359D1" w14:paraId="6103D3C0" w14:textId="77777777" w:rsidTr="00E75AD1">
        <w:trPr>
          <w:trHeight w:val="315"/>
        </w:trPr>
        <w:tc>
          <w:tcPr>
            <w:tcW w:w="6498" w:type="dxa"/>
            <w:shd w:val="clear" w:color="auto" w:fill="FFFFFF" w:themeFill="background1"/>
            <w:noWrap/>
            <w:vAlign w:val="center"/>
            <w:hideMark/>
          </w:tcPr>
          <w:p w14:paraId="638AF063" w14:textId="77777777" w:rsidR="00636B10" w:rsidRPr="003359D1" w:rsidRDefault="00636B10" w:rsidP="00AD5304">
            <w:pPr>
              <w:shd w:val="clear" w:color="auto" w:fill="FFFFFF" w:themeFill="background1"/>
              <w:spacing w:after="0"/>
              <w:jc w:val="center"/>
              <w:rPr>
                <w:b/>
                <w:bCs/>
                <w:color w:val="FFFFFF" w:themeColor="background1"/>
              </w:rPr>
            </w:pPr>
            <w:r w:rsidRPr="003359D1">
              <w:rPr>
                <w:b/>
                <w:bCs/>
                <w:color w:val="FFFFFF" w:themeColor="background1"/>
              </w:rPr>
              <w:t>Key Deliverables</w:t>
            </w:r>
          </w:p>
        </w:tc>
        <w:tc>
          <w:tcPr>
            <w:tcW w:w="2610" w:type="dxa"/>
            <w:shd w:val="clear" w:color="auto" w:fill="FFFFFF" w:themeFill="background1"/>
            <w:vAlign w:val="center"/>
          </w:tcPr>
          <w:p w14:paraId="643504BE" w14:textId="77777777" w:rsidR="00636B10" w:rsidRPr="003359D1" w:rsidRDefault="00636B10" w:rsidP="00AD5304">
            <w:pPr>
              <w:shd w:val="clear" w:color="auto" w:fill="FFFFFF" w:themeFill="background1"/>
              <w:spacing w:after="0"/>
              <w:jc w:val="center"/>
              <w:rPr>
                <w:b/>
                <w:bCs/>
                <w:color w:val="FFFFFF" w:themeColor="background1"/>
              </w:rPr>
            </w:pPr>
            <w:r w:rsidRPr="003359D1">
              <w:rPr>
                <w:b/>
                <w:bCs/>
                <w:color w:val="FFFFFF" w:themeColor="background1"/>
              </w:rPr>
              <w:t>Timeline</w:t>
            </w:r>
          </w:p>
        </w:tc>
      </w:tr>
      <w:tr w:rsidR="00636B10" w:rsidRPr="003359D1" w14:paraId="12CEFE97" w14:textId="77777777" w:rsidTr="00E75AD1">
        <w:trPr>
          <w:trHeight w:val="233"/>
        </w:trPr>
        <w:tc>
          <w:tcPr>
            <w:tcW w:w="9108" w:type="dxa"/>
            <w:gridSpan w:val="2"/>
            <w:shd w:val="clear" w:color="auto" w:fill="FFFFFF" w:themeFill="background1"/>
          </w:tcPr>
          <w:p w14:paraId="6ADF47B6" w14:textId="28709EE3" w:rsidR="00636B10" w:rsidRPr="00544E5F" w:rsidRDefault="00544E5F" w:rsidP="00AD5304">
            <w:pPr>
              <w:shd w:val="clear" w:color="auto" w:fill="FFFFFF" w:themeFill="background1"/>
              <w:spacing w:after="0"/>
              <w:jc w:val="both"/>
              <w:rPr>
                <w:b/>
                <w:bCs/>
              </w:rPr>
            </w:pPr>
            <w:r>
              <w:rPr>
                <w:b/>
                <w:bCs/>
              </w:rPr>
              <w:t xml:space="preserve">Deliverable 1: </w:t>
            </w:r>
            <w:r w:rsidR="00636B10" w:rsidRPr="00544E5F">
              <w:rPr>
                <w:b/>
                <w:bCs/>
              </w:rPr>
              <w:t xml:space="preserve"> </w:t>
            </w:r>
          </w:p>
        </w:tc>
      </w:tr>
      <w:tr w:rsidR="00636B10" w:rsidRPr="003359D1" w14:paraId="4E16B966" w14:textId="77777777" w:rsidTr="00E75AD1">
        <w:trPr>
          <w:trHeight w:val="191"/>
        </w:trPr>
        <w:tc>
          <w:tcPr>
            <w:tcW w:w="6498" w:type="dxa"/>
            <w:shd w:val="clear" w:color="auto" w:fill="FFFFFF" w:themeFill="background1"/>
          </w:tcPr>
          <w:p w14:paraId="1FDF78DC" w14:textId="77777777" w:rsidR="00CA34BB" w:rsidRPr="00023B12" w:rsidRDefault="00CA34BB" w:rsidP="00AD5304">
            <w:pPr>
              <w:shd w:val="clear" w:color="auto" w:fill="FFFFFF" w:themeFill="background1"/>
              <w:spacing w:after="0"/>
              <w:rPr>
                <w:b/>
                <w:bCs/>
              </w:rPr>
            </w:pPr>
            <w:r w:rsidRPr="00023B12">
              <w:rPr>
                <w:b/>
                <w:bCs/>
              </w:rPr>
              <w:t xml:space="preserve">Inception report:  </w:t>
            </w:r>
          </w:p>
          <w:p w14:paraId="62D70245" w14:textId="77777777" w:rsidR="00023B12" w:rsidRDefault="00CA34BB" w:rsidP="00AD5304">
            <w:pPr>
              <w:shd w:val="clear" w:color="auto" w:fill="FFFFFF" w:themeFill="background1"/>
              <w:spacing w:after="0"/>
              <w:rPr>
                <w:rFonts w:cstheme="minorHAnsi"/>
              </w:rPr>
            </w:pPr>
            <w:r w:rsidRPr="00D60BE9">
              <w:rPr>
                <w:rFonts w:cstheme="minorHAnsi"/>
              </w:rPr>
              <w:t>Contains</w:t>
            </w:r>
            <w:r>
              <w:rPr>
                <w:rFonts w:cstheme="minorHAnsi"/>
              </w:rPr>
              <w:t xml:space="preserve"> the</w:t>
            </w:r>
            <w:r w:rsidRPr="00D60BE9">
              <w:rPr>
                <w:rFonts w:cstheme="minorHAnsi"/>
              </w:rPr>
              <w:t xml:space="preserve"> signed contracts between the</w:t>
            </w:r>
            <w:r>
              <w:rPr>
                <w:rFonts w:cstheme="minorHAnsi"/>
              </w:rPr>
              <w:t xml:space="preserve"> implementing partner</w:t>
            </w:r>
            <w:r w:rsidRPr="00D60BE9">
              <w:rPr>
                <w:rFonts w:cstheme="minorHAnsi"/>
              </w:rPr>
              <w:t xml:space="preserve"> and the </w:t>
            </w:r>
            <w:r>
              <w:rPr>
                <w:rFonts w:cstheme="minorHAnsi"/>
              </w:rPr>
              <w:t>selected</w:t>
            </w:r>
            <w:r w:rsidRPr="00D60BE9">
              <w:rPr>
                <w:rFonts w:cstheme="minorHAnsi"/>
              </w:rPr>
              <w:t xml:space="preserve"> contractors (including any sub-contracts), work plans for each work site in line with BOQs, as well as the number of workers (both skilled and unskilled) to be re</w:t>
            </w:r>
            <w:r>
              <w:rPr>
                <w:rFonts w:cstheme="minorHAnsi"/>
              </w:rPr>
              <w:t>cruited</w:t>
            </w:r>
            <w:r w:rsidRPr="00D60BE9">
              <w:rPr>
                <w:rFonts w:cstheme="minorHAnsi"/>
              </w:rPr>
              <w:t xml:space="preserve"> for the work and their inclusive selection modalities that were agreed with the contractors based on the contract specifications.</w:t>
            </w:r>
          </w:p>
          <w:p w14:paraId="2A09A8DE" w14:textId="772BB54B" w:rsidR="002F2FB6" w:rsidRPr="00CA34BB" w:rsidRDefault="002F2FB6" w:rsidP="00AD5304">
            <w:pPr>
              <w:shd w:val="clear" w:color="auto" w:fill="FFFFFF" w:themeFill="background1"/>
              <w:spacing w:after="0"/>
              <w:rPr>
                <w:rFonts w:cstheme="minorHAnsi"/>
              </w:rPr>
            </w:pPr>
          </w:p>
        </w:tc>
        <w:tc>
          <w:tcPr>
            <w:tcW w:w="2610" w:type="dxa"/>
            <w:shd w:val="clear" w:color="auto" w:fill="FFFFFF" w:themeFill="background1"/>
            <w:vAlign w:val="center"/>
          </w:tcPr>
          <w:p w14:paraId="4FA02776" w14:textId="2A46DB87" w:rsidR="00636B10" w:rsidRPr="003359D1" w:rsidRDefault="007042D8" w:rsidP="00AD5304">
            <w:pPr>
              <w:shd w:val="clear" w:color="auto" w:fill="FFFFFF" w:themeFill="background1"/>
              <w:spacing w:after="0"/>
            </w:pPr>
            <w:r w:rsidRPr="00D60BE9">
              <w:rPr>
                <w:rFonts w:cstheme="minorHAnsi"/>
              </w:rPr>
              <w:t>W</w:t>
            </w:r>
            <w:r w:rsidR="003C4550" w:rsidRPr="00D60BE9">
              <w:rPr>
                <w:rFonts w:cstheme="minorHAnsi"/>
              </w:rPr>
              <w:t>ithin 20 days after the signing of the contracts.</w:t>
            </w:r>
          </w:p>
        </w:tc>
      </w:tr>
      <w:tr w:rsidR="00636B10" w:rsidRPr="003359D1" w14:paraId="4246B6AD" w14:textId="77777777" w:rsidTr="00E75AD1">
        <w:trPr>
          <w:trHeight w:val="107"/>
        </w:trPr>
        <w:tc>
          <w:tcPr>
            <w:tcW w:w="9108" w:type="dxa"/>
            <w:gridSpan w:val="2"/>
            <w:shd w:val="clear" w:color="auto" w:fill="FFFFFF" w:themeFill="background1"/>
          </w:tcPr>
          <w:p w14:paraId="58D36E99" w14:textId="614F9BCC" w:rsidR="00636B10" w:rsidRPr="00544E5F" w:rsidRDefault="00544E5F" w:rsidP="00AD5304">
            <w:pPr>
              <w:shd w:val="clear" w:color="auto" w:fill="FFFFFF" w:themeFill="background1"/>
              <w:spacing w:after="0"/>
              <w:jc w:val="both"/>
              <w:rPr>
                <w:b/>
                <w:bCs/>
              </w:rPr>
            </w:pPr>
            <w:r>
              <w:rPr>
                <w:b/>
                <w:bCs/>
              </w:rPr>
              <w:t xml:space="preserve">Deliverable 2: </w:t>
            </w:r>
          </w:p>
        </w:tc>
      </w:tr>
      <w:tr w:rsidR="00636B10" w:rsidRPr="003359D1" w14:paraId="6CBB1C75" w14:textId="77777777" w:rsidTr="00E75AD1">
        <w:trPr>
          <w:trHeight w:val="110"/>
        </w:trPr>
        <w:tc>
          <w:tcPr>
            <w:tcW w:w="6498" w:type="dxa"/>
            <w:shd w:val="clear" w:color="auto" w:fill="FFFFFF" w:themeFill="background1"/>
          </w:tcPr>
          <w:p w14:paraId="6D3C0FB6" w14:textId="77777777" w:rsidR="00CA34BB" w:rsidRDefault="00CA34BB" w:rsidP="00AD5304">
            <w:pPr>
              <w:shd w:val="clear" w:color="auto" w:fill="FFFFFF" w:themeFill="background1"/>
              <w:spacing w:after="0"/>
              <w:jc w:val="both"/>
              <w:rPr>
                <w:rFonts w:cstheme="minorHAnsi"/>
                <w:b/>
              </w:rPr>
            </w:pPr>
            <w:r w:rsidRPr="00D60BE9">
              <w:rPr>
                <w:rFonts w:cstheme="minorHAnsi"/>
                <w:b/>
              </w:rPr>
              <w:t>1</w:t>
            </w:r>
            <w:r w:rsidRPr="00D60BE9">
              <w:rPr>
                <w:rFonts w:cstheme="minorHAnsi"/>
                <w:b/>
                <w:vertAlign w:val="superscript"/>
              </w:rPr>
              <w:t>st</w:t>
            </w:r>
            <w:r w:rsidRPr="00D60BE9">
              <w:rPr>
                <w:rFonts w:cstheme="minorHAnsi"/>
                <w:b/>
              </w:rPr>
              <w:t xml:space="preserve"> progress report</w:t>
            </w:r>
            <w:r>
              <w:rPr>
                <w:rFonts w:cstheme="minorHAnsi"/>
                <w:b/>
              </w:rPr>
              <w:t>:</w:t>
            </w:r>
          </w:p>
          <w:p w14:paraId="39571455" w14:textId="77777777" w:rsidR="002A4C92" w:rsidRDefault="00CA34BB" w:rsidP="00AD5304">
            <w:pPr>
              <w:shd w:val="clear" w:color="auto" w:fill="FFFFFF" w:themeFill="background1"/>
              <w:spacing w:after="0" w:line="240" w:lineRule="auto"/>
              <w:jc w:val="both"/>
              <w:rPr>
                <w:rFonts w:cstheme="minorHAnsi"/>
              </w:rPr>
            </w:pPr>
            <w:r>
              <w:rPr>
                <w:rFonts w:cstheme="minorHAnsi"/>
              </w:rPr>
              <w:t>Narrative and financial report that c</w:t>
            </w:r>
            <w:r w:rsidRPr="00F369D2">
              <w:rPr>
                <w:rFonts w:cstheme="minorHAnsi"/>
              </w:rPr>
              <w:t>ontains worksite mobilization progress in percentage against activities specified in each BOQ, work plans, and budget delivery</w:t>
            </w:r>
            <w:r>
              <w:rPr>
                <w:rFonts w:cstheme="minorHAnsi"/>
              </w:rPr>
              <w:t>.</w:t>
            </w:r>
          </w:p>
          <w:p w14:paraId="2DDAF58C" w14:textId="6D7EED00" w:rsidR="002F2FB6" w:rsidRPr="002A4C92" w:rsidRDefault="002F2FB6" w:rsidP="00AD5304">
            <w:pPr>
              <w:shd w:val="clear" w:color="auto" w:fill="FFFFFF" w:themeFill="background1"/>
              <w:spacing w:after="0" w:line="240" w:lineRule="auto"/>
              <w:jc w:val="both"/>
              <w:rPr>
                <w:rFonts w:cstheme="minorHAnsi"/>
              </w:rPr>
            </w:pPr>
          </w:p>
        </w:tc>
        <w:tc>
          <w:tcPr>
            <w:tcW w:w="2610" w:type="dxa"/>
            <w:shd w:val="clear" w:color="auto" w:fill="FFFFFF" w:themeFill="background1"/>
            <w:vAlign w:val="center"/>
          </w:tcPr>
          <w:p w14:paraId="440AC883" w14:textId="52796550" w:rsidR="00636B10" w:rsidRPr="003359D1" w:rsidRDefault="007042D8" w:rsidP="00AD5304">
            <w:pPr>
              <w:shd w:val="clear" w:color="auto" w:fill="FFFFFF" w:themeFill="background1"/>
              <w:spacing w:after="0"/>
            </w:pPr>
            <w:r w:rsidRPr="00F369D2">
              <w:rPr>
                <w:rFonts w:cstheme="minorHAnsi"/>
              </w:rPr>
              <w:t>W</w:t>
            </w:r>
            <w:r w:rsidR="00F369D2" w:rsidRPr="00F369D2">
              <w:rPr>
                <w:rFonts w:cstheme="minorHAnsi"/>
              </w:rPr>
              <w:t>ithin 14 days after the worksite</w:t>
            </w:r>
            <w:r w:rsidR="00CA34BB">
              <w:rPr>
                <w:rFonts w:cstheme="minorHAnsi"/>
              </w:rPr>
              <w:t xml:space="preserve"> (s)</w:t>
            </w:r>
            <w:r w:rsidR="00F369D2" w:rsidRPr="00F369D2">
              <w:rPr>
                <w:rFonts w:cstheme="minorHAnsi"/>
              </w:rPr>
              <w:t xml:space="preserve"> mobilization</w:t>
            </w:r>
            <w:r w:rsidR="00CA34BB">
              <w:rPr>
                <w:rFonts w:cstheme="minorHAnsi"/>
              </w:rPr>
              <w:t xml:space="preserve">. </w:t>
            </w:r>
          </w:p>
        </w:tc>
      </w:tr>
      <w:tr w:rsidR="00636B10" w:rsidRPr="003359D1" w14:paraId="2D8A8BBF" w14:textId="77777777" w:rsidTr="00E75AD1">
        <w:trPr>
          <w:trHeight w:val="43"/>
        </w:trPr>
        <w:tc>
          <w:tcPr>
            <w:tcW w:w="9108" w:type="dxa"/>
            <w:gridSpan w:val="2"/>
            <w:shd w:val="clear" w:color="auto" w:fill="FFFFFF" w:themeFill="background1"/>
          </w:tcPr>
          <w:p w14:paraId="2AF5AA14" w14:textId="3CC1C2D9" w:rsidR="00636B10" w:rsidRPr="00544E5F" w:rsidRDefault="00544E5F" w:rsidP="00AD5304">
            <w:pPr>
              <w:shd w:val="clear" w:color="auto" w:fill="FFFFFF" w:themeFill="background1"/>
              <w:spacing w:after="0"/>
              <w:jc w:val="both"/>
              <w:rPr>
                <w:b/>
                <w:bCs/>
              </w:rPr>
            </w:pPr>
            <w:r>
              <w:rPr>
                <w:b/>
                <w:bCs/>
              </w:rPr>
              <w:t xml:space="preserve">Deliverable 3: </w:t>
            </w:r>
          </w:p>
        </w:tc>
      </w:tr>
      <w:tr w:rsidR="00544E5F" w:rsidRPr="003359D1" w14:paraId="7A34218F" w14:textId="77777777" w:rsidTr="00E75AD1">
        <w:trPr>
          <w:trHeight w:val="253"/>
        </w:trPr>
        <w:tc>
          <w:tcPr>
            <w:tcW w:w="6498" w:type="dxa"/>
            <w:shd w:val="clear" w:color="auto" w:fill="FFFFFF" w:themeFill="background1"/>
          </w:tcPr>
          <w:p w14:paraId="55EA72C9" w14:textId="5A32221F" w:rsidR="00544E5F" w:rsidRPr="002A4C92" w:rsidRDefault="002A4C92" w:rsidP="00AD5304">
            <w:pPr>
              <w:shd w:val="clear" w:color="auto" w:fill="FFFFFF" w:themeFill="background1"/>
              <w:spacing w:after="0"/>
              <w:jc w:val="both"/>
              <w:rPr>
                <w:b/>
                <w:bCs/>
                <w:lang w:val="en-US"/>
              </w:rPr>
            </w:pPr>
            <w:r w:rsidRPr="002A4C92">
              <w:rPr>
                <w:b/>
                <w:bCs/>
                <w:lang w:val="en-US"/>
              </w:rPr>
              <w:t>2</w:t>
            </w:r>
            <w:r w:rsidRPr="002A4C92">
              <w:rPr>
                <w:b/>
                <w:bCs/>
                <w:vertAlign w:val="superscript"/>
                <w:lang w:val="en-US"/>
              </w:rPr>
              <w:t>nd</w:t>
            </w:r>
            <w:r w:rsidRPr="002A4C92">
              <w:rPr>
                <w:b/>
                <w:bCs/>
                <w:lang w:val="en-US"/>
              </w:rPr>
              <w:t xml:space="preserve"> progress report: </w:t>
            </w:r>
          </w:p>
          <w:p w14:paraId="371FE6FE" w14:textId="3D501051" w:rsidR="00E719EA" w:rsidRPr="00955AF3" w:rsidRDefault="00CA34BB" w:rsidP="00AD5304">
            <w:pPr>
              <w:shd w:val="clear" w:color="auto" w:fill="FFFFFF" w:themeFill="background1"/>
              <w:spacing w:after="0" w:line="240" w:lineRule="auto"/>
              <w:jc w:val="both"/>
              <w:rPr>
                <w:rFonts w:cstheme="minorHAnsi"/>
              </w:rPr>
            </w:pPr>
            <w:r>
              <w:rPr>
                <w:rFonts w:cstheme="minorHAnsi"/>
              </w:rPr>
              <w:t>Narrative and financial report that c</w:t>
            </w:r>
            <w:r w:rsidRPr="002A4C92">
              <w:rPr>
                <w:rFonts w:cstheme="minorHAnsi"/>
              </w:rPr>
              <w:t>ontains</w:t>
            </w:r>
            <w:r>
              <w:rPr>
                <w:rFonts w:cstheme="minorHAnsi"/>
              </w:rPr>
              <w:t xml:space="preserve"> </w:t>
            </w:r>
            <w:r w:rsidRPr="002A4C92">
              <w:rPr>
                <w:rFonts w:cstheme="minorHAnsi"/>
              </w:rPr>
              <w:t>worksite progress in percentage against activities specified in each BOQ, work plans, and budget delivery</w:t>
            </w:r>
            <w:r>
              <w:rPr>
                <w:rFonts w:cstheme="minorHAnsi"/>
              </w:rPr>
              <w:t>.</w:t>
            </w:r>
          </w:p>
        </w:tc>
        <w:tc>
          <w:tcPr>
            <w:tcW w:w="2610" w:type="dxa"/>
            <w:shd w:val="clear" w:color="auto" w:fill="FFFFFF" w:themeFill="background1"/>
            <w:vAlign w:val="center"/>
          </w:tcPr>
          <w:p w14:paraId="5DED787C" w14:textId="45A265FC" w:rsidR="00544E5F" w:rsidRPr="00515051" w:rsidRDefault="00181184" w:rsidP="00AD5304">
            <w:pPr>
              <w:shd w:val="clear" w:color="auto" w:fill="FFFFFF" w:themeFill="background1"/>
              <w:spacing w:after="0" w:line="240" w:lineRule="auto"/>
              <w:jc w:val="both"/>
              <w:rPr>
                <w:rFonts w:cstheme="minorHAnsi"/>
              </w:rPr>
            </w:pPr>
            <w:r w:rsidRPr="002A4C92">
              <w:rPr>
                <w:rFonts w:cstheme="minorHAnsi"/>
              </w:rPr>
              <w:t>A</w:t>
            </w:r>
            <w:r w:rsidR="00BD0DF7" w:rsidRPr="002A4C92">
              <w:rPr>
                <w:rFonts w:cstheme="minorHAnsi"/>
              </w:rPr>
              <w:t>fter</w:t>
            </w:r>
            <w:r>
              <w:rPr>
                <w:rFonts w:cstheme="minorHAnsi"/>
              </w:rPr>
              <w:t xml:space="preserve"> </w:t>
            </w:r>
            <w:r w:rsidR="00BD0DF7" w:rsidRPr="002A4C92">
              <w:rPr>
                <w:rFonts w:cstheme="minorHAnsi"/>
              </w:rPr>
              <w:t xml:space="preserve">the </w:t>
            </w:r>
            <w:r w:rsidR="00515051">
              <w:rPr>
                <w:rFonts w:cstheme="minorHAnsi"/>
              </w:rPr>
              <w:t>average of total works on sites reaches</w:t>
            </w:r>
            <w:r w:rsidR="00BD0DF7" w:rsidRPr="002A4C92">
              <w:rPr>
                <w:rFonts w:cstheme="minorHAnsi"/>
              </w:rPr>
              <w:t xml:space="preserve"> 50%</w:t>
            </w:r>
            <w:r w:rsidR="00515051">
              <w:rPr>
                <w:rFonts w:cstheme="minorHAnsi"/>
              </w:rPr>
              <w:t>.</w:t>
            </w:r>
          </w:p>
        </w:tc>
      </w:tr>
      <w:tr w:rsidR="00E719EA" w:rsidRPr="003359D1" w14:paraId="41773888" w14:textId="77777777" w:rsidTr="00E75AD1">
        <w:trPr>
          <w:trHeight w:val="253"/>
        </w:trPr>
        <w:tc>
          <w:tcPr>
            <w:tcW w:w="9108" w:type="dxa"/>
            <w:gridSpan w:val="2"/>
            <w:shd w:val="clear" w:color="auto" w:fill="FFFFFF" w:themeFill="background1"/>
          </w:tcPr>
          <w:p w14:paraId="4618D384" w14:textId="6FD7674C" w:rsidR="00E719EA" w:rsidRPr="002A4C92" w:rsidRDefault="00E719EA" w:rsidP="00AD5304">
            <w:pPr>
              <w:shd w:val="clear" w:color="auto" w:fill="FFFFFF" w:themeFill="background1"/>
              <w:spacing w:after="0" w:line="240" w:lineRule="auto"/>
              <w:jc w:val="both"/>
              <w:rPr>
                <w:rFonts w:cstheme="minorHAnsi"/>
              </w:rPr>
            </w:pPr>
            <w:r>
              <w:rPr>
                <w:b/>
                <w:bCs/>
              </w:rPr>
              <w:t xml:space="preserve">Deliverable 4: </w:t>
            </w:r>
          </w:p>
        </w:tc>
      </w:tr>
      <w:tr w:rsidR="00E719EA" w:rsidRPr="003359D1" w14:paraId="07E893CC" w14:textId="77777777" w:rsidTr="00E75AD1">
        <w:trPr>
          <w:trHeight w:val="43"/>
        </w:trPr>
        <w:tc>
          <w:tcPr>
            <w:tcW w:w="6498" w:type="dxa"/>
            <w:shd w:val="clear" w:color="auto" w:fill="FFFFFF" w:themeFill="background1"/>
          </w:tcPr>
          <w:p w14:paraId="7493A7AE" w14:textId="4F3CB7D2" w:rsidR="00E719EA" w:rsidRPr="002A4C92" w:rsidRDefault="00E719EA" w:rsidP="00AD5304">
            <w:pPr>
              <w:shd w:val="clear" w:color="auto" w:fill="FFFFFF" w:themeFill="background1"/>
              <w:spacing w:after="0"/>
              <w:jc w:val="both"/>
              <w:rPr>
                <w:b/>
                <w:bCs/>
                <w:lang w:val="en-US"/>
              </w:rPr>
            </w:pPr>
            <w:r>
              <w:rPr>
                <w:b/>
                <w:bCs/>
                <w:lang w:val="en-US"/>
              </w:rPr>
              <w:t>3</w:t>
            </w:r>
            <w:r w:rsidRPr="00181184">
              <w:rPr>
                <w:b/>
                <w:bCs/>
                <w:vertAlign w:val="superscript"/>
                <w:lang w:val="en-US"/>
              </w:rPr>
              <w:t>rd</w:t>
            </w:r>
            <w:r>
              <w:rPr>
                <w:b/>
                <w:bCs/>
                <w:lang w:val="en-US"/>
              </w:rPr>
              <w:t xml:space="preserve"> </w:t>
            </w:r>
            <w:r w:rsidRPr="002A4C92">
              <w:rPr>
                <w:b/>
                <w:bCs/>
                <w:lang w:val="en-US"/>
              </w:rPr>
              <w:t xml:space="preserve">progress report: </w:t>
            </w:r>
          </w:p>
          <w:p w14:paraId="040ABEAC" w14:textId="30766EE8" w:rsidR="002F2FB6" w:rsidRPr="00955AF3" w:rsidRDefault="00E719EA" w:rsidP="00AD5304">
            <w:pPr>
              <w:shd w:val="clear" w:color="auto" w:fill="FFFFFF" w:themeFill="background1"/>
              <w:spacing w:after="0"/>
              <w:jc w:val="both"/>
              <w:rPr>
                <w:rFonts w:cstheme="minorHAnsi"/>
              </w:rPr>
            </w:pPr>
            <w:r>
              <w:rPr>
                <w:rFonts w:cstheme="minorHAnsi"/>
              </w:rPr>
              <w:t>Narrative and financial report that c</w:t>
            </w:r>
            <w:r w:rsidRPr="002A4C92">
              <w:rPr>
                <w:rFonts w:cstheme="minorHAnsi"/>
              </w:rPr>
              <w:t>ontains</w:t>
            </w:r>
            <w:r>
              <w:rPr>
                <w:rFonts w:cstheme="minorHAnsi"/>
              </w:rPr>
              <w:t xml:space="preserve"> </w:t>
            </w:r>
            <w:r w:rsidRPr="002A4C92">
              <w:rPr>
                <w:rFonts w:cstheme="minorHAnsi"/>
              </w:rPr>
              <w:t>worksite progress in percentage against activities specified in each BOQ, work plans, and budget delivery</w:t>
            </w:r>
            <w:r>
              <w:rPr>
                <w:rFonts w:cstheme="minorHAnsi"/>
              </w:rPr>
              <w:t>.</w:t>
            </w:r>
          </w:p>
        </w:tc>
        <w:tc>
          <w:tcPr>
            <w:tcW w:w="2610" w:type="dxa"/>
            <w:shd w:val="clear" w:color="auto" w:fill="FFFFFF" w:themeFill="background1"/>
            <w:vAlign w:val="center"/>
          </w:tcPr>
          <w:p w14:paraId="79FE4193" w14:textId="0CB1EF0B" w:rsidR="00E719EA" w:rsidRPr="00574930" w:rsidRDefault="00E719EA" w:rsidP="00AD5304">
            <w:pPr>
              <w:shd w:val="clear" w:color="auto" w:fill="FFFFFF" w:themeFill="background1"/>
              <w:spacing w:after="0" w:line="240" w:lineRule="auto"/>
              <w:jc w:val="both"/>
              <w:rPr>
                <w:rFonts w:cstheme="minorHAnsi"/>
              </w:rPr>
            </w:pPr>
            <w:r w:rsidRPr="00574930">
              <w:rPr>
                <w:rFonts w:cstheme="minorHAnsi"/>
              </w:rPr>
              <w:t xml:space="preserve">After the </w:t>
            </w:r>
            <w:r w:rsidR="00C9554B">
              <w:rPr>
                <w:rFonts w:cstheme="minorHAnsi"/>
              </w:rPr>
              <w:t xml:space="preserve">average of total works on sites reaches </w:t>
            </w:r>
            <w:r w:rsidRPr="00574930">
              <w:rPr>
                <w:rFonts w:cstheme="minorHAnsi"/>
              </w:rPr>
              <w:t>80%</w:t>
            </w:r>
            <w:r w:rsidR="00C9554B">
              <w:rPr>
                <w:rFonts w:cstheme="minorHAnsi"/>
              </w:rPr>
              <w:t>.</w:t>
            </w:r>
          </w:p>
          <w:p w14:paraId="2B416C68" w14:textId="64166152" w:rsidR="00E719EA" w:rsidRPr="003359D1" w:rsidRDefault="00E719EA" w:rsidP="00AD5304">
            <w:pPr>
              <w:shd w:val="clear" w:color="auto" w:fill="FFFFFF" w:themeFill="background1"/>
              <w:spacing w:after="0"/>
            </w:pPr>
          </w:p>
        </w:tc>
      </w:tr>
      <w:tr w:rsidR="00E719EA" w:rsidRPr="003359D1" w14:paraId="1908338C" w14:textId="77777777" w:rsidTr="00E75AD1">
        <w:trPr>
          <w:trHeight w:val="43"/>
        </w:trPr>
        <w:tc>
          <w:tcPr>
            <w:tcW w:w="9108" w:type="dxa"/>
            <w:gridSpan w:val="2"/>
            <w:shd w:val="clear" w:color="auto" w:fill="FFFFFF" w:themeFill="background1"/>
          </w:tcPr>
          <w:p w14:paraId="4ADCF0A1" w14:textId="6BE7AF07" w:rsidR="00E719EA" w:rsidRPr="00574930" w:rsidRDefault="00E719EA" w:rsidP="00AD5304">
            <w:pPr>
              <w:shd w:val="clear" w:color="auto" w:fill="FFFFFF" w:themeFill="background1"/>
              <w:spacing w:after="0" w:line="240" w:lineRule="auto"/>
              <w:jc w:val="both"/>
              <w:rPr>
                <w:rFonts w:cstheme="minorHAnsi"/>
              </w:rPr>
            </w:pPr>
            <w:r>
              <w:rPr>
                <w:b/>
                <w:bCs/>
              </w:rPr>
              <w:lastRenderedPageBreak/>
              <w:t xml:space="preserve">Deliverable 5: </w:t>
            </w:r>
          </w:p>
        </w:tc>
      </w:tr>
      <w:tr w:rsidR="00E719EA" w:rsidRPr="003359D1" w14:paraId="1FA067D4" w14:textId="77777777" w:rsidTr="00E75AD1">
        <w:trPr>
          <w:trHeight w:val="43"/>
        </w:trPr>
        <w:tc>
          <w:tcPr>
            <w:tcW w:w="6498" w:type="dxa"/>
            <w:shd w:val="clear" w:color="auto" w:fill="FFFFFF" w:themeFill="background1"/>
          </w:tcPr>
          <w:p w14:paraId="03A68469" w14:textId="7B0E534A" w:rsidR="00E719EA" w:rsidRPr="003C1CF6" w:rsidRDefault="00E719EA" w:rsidP="00AD5304">
            <w:pPr>
              <w:shd w:val="clear" w:color="auto" w:fill="FFFFFF" w:themeFill="background1"/>
              <w:spacing w:after="0"/>
              <w:jc w:val="both"/>
              <w:rPr>
                <w:b/>
                <w:bCs/>
                <w:lang w:val="en-US"/>
              </w:rPr>
            </w:pPr>
            <w:r w:rsidRPr="003C1CF6">
              <w:rPr>
                <w:b/>
                <w:bCs/>
                <w:lang w:val="en-US"/>
              </w:rPr>
              <w:t xml:space="preserve">Final report: </w:t>
            </w:r>
          </w:p>
          <w:p w14:paraId="12D0FBB1" w14:textId="7BDA94ED" w:rsidR="00E719EA" w:rsidRPr="003359D1" w:rsidRDefault="00E719EA" w:rsidP="00AD5304">
            <w:pPr>
              <w:shd w:val="clear" w:color="auto" w:fill="FFFFFF" w:themeFill="background1"/>
              <w:spacing w:after="0"/>
              <w:jc w:val="both"/>
              <w:rPr>
                <w:lang w:val="en-US"/>
              </w:rPr>
            </w:pPr>
            <w:r>
              <w:rPr>
                <w:rFonts w:cstheme="minorHAnsi"/>
              </w:rPr>
              <w:t>Narrative and financial report that c</w:t>
            </w:r>
            <w:r w:rsidRPr="00D60BE9">
              <w:rPr>
                <w:rFonts w:cstheme="minorHAnsi"/>
              </w:rPr>
              <w:t>ontains</w:t>
            </w:r>
            <w:r>
              <w:rPr>
                <w:rFonts w:cstheme="minorHAnsi"/>
              </w:rPr>
              <w:t xml:space="preserve"> </w:t>
            </w:r>
            <w:r w:rsidRPr="00D60BE9">
              <w:rPr>
                <w:rFonts w:cstheme="minorHAnsi"/>
              </w:rPr>
              <w:t xml:space="preserve">all the required data specified in the TOR and </w:t>
            </w:r>
            <w:r w:rsidR="002F2FB6">
              <w:rPr>
                <w:rFonts w:cstheme="minorHAnsi"/>
              </w:rPr>
              <w:t xml:space="preserve">final </w:t>
            </w:r>
            <w:r w:rsidRPr="00D60BE9">
              <w:rPr>
                <w:rFonts w:cstheme="minorHAnsi"/>
              </w:rPr>
              <w:t>financial</w:t>
            </w:r>
            <w:r w:rsidR="0068567E">
              <w:rPr>
                <w:rFonts w:cstheme="minorHAnsi"/>
              </w:rPr>
              <w:t>/expenditure</w:t>
            </w:r>
            <w:r w:rsidRPr="00D60BE9">
              <w:rPr>
                <w:rFonts w:cstheme="minorHAnsi"/>
              </w:rPr>
              <w:t xml:space="preserve"> report</w:t>
            </w:r>
            <w:r w:rsidR="002F2FB6">
              <w:rPr>
                <w:rFonts w:cstheme="minorHAnsi"/>
              </w:rPr>
              <w:t xml:space="preserve">. </w:t>
            </w:r>
          </w:p>
        </w:tc>
        <w:tc>
          <w:tcPr>
            <w:tcW w:w="2610" w:type="dxa"/>
            <w:shd w:val="clear" w:color="auto" w:fill="FFFFFF" w:themeFill="background1"/>
            <w:vAlign w:val="center"/>
          </w:tcPr>
          <w:p w14:paraId="76546B2C" w14:textId="0C135551" w:rsidR="00E719EA" w:rsidRPr="003359D1" w:rsidRDefault="00E719EA" w:rsidP="00AD5304">
            <w:pPr>
              <w:shd w:val="clear" w:color="auto" w:fill="FFFFFF" w:themeFill="background1"/>
              <w:spacing w:after="0"/>
            </w:pPr>
            <w:r>
              <w:t xml:space="preserve">No late than 10 days after the final handover of projects to the local community and stakeholders </w:t>
            </w:r>
          </w:p>
        </w:tc>
      </w:tr>
    </w:tbl>
    <w:p w14:paraId="4427757E" w14:textId="77777777" w:rsidR="00544E5F" w:rsidRDefault="00544E5F" w:rsidP="00AD5304">
      <w:pPr>
        <w:pStyle w:val="Heading2"/>
        <w:shd w:val="clear" w:color="auto" w:fill="FFFFFF" w:themeFill="background1"/>
        <w:jc w:val="both"/>
      </w:pPr>
    </w:p>
    <w:p w14:paraId="4CE977F4" w14:textId="7FA04FEF" w:rsidR="00636B10" w:rsidRDefault="00636B10" w:rsidP="00AD5304">
      <w:pPr>
        <w:pStyle w:val="Heading2"/>
        <w:shd w:val="clear" w:color="auto" w:fill="FFFFFF" w:themeFill="background1"/>
        <w:jc w:val="both"/>
      </w:pPr>
      <w:r>
        <w:t>REPORTING LINES</w:t>
      </w:r>
    </w:p>
    <w:p w14:paraId="4C8527D2" w14:textId="77777777" w:rsidR="00375231" w:rsidRPr="00ED2144" w:rsidRDefault="00375231" w:rsidP="00AD5304">
      <w:pPr>
        <w:shd w:val="clear" w:color="auto" w:fill="FFFFFF" w:themeFill="background1"/>
        <w:jc w:val="both"/>
        <w:rPr>
          <w:rStyle w:val="Heading2Char"/>
          <w:rFonts w:asciiTheme="minorHAnsi" w:eastAsiaTheme="minorHAnsi" w:hAnsiTheme="minorHAnsi" w:cstheme="minorHAnsi"/>
          <w:color w:val="auto"/>
          <w:sz w:val="22"/>
          <w:szCs w:val="22"/>
        </w:rPr>
      </w:pPr>
      <w:r w:rsidRPr="00D60BE9">
        <w:rPr>
          <w:rFonts w:cstheme="minorHAnsi"/>
        </w:rPr>
        <w:t xml:space="preserve">The </w:t>
      </w:r>
      <w:r>
        <w:rPr>
          <w:rFonts w:cstheme="minorHAnsi"/>
        </w:rPr>
        <w:t xml:space="preserve">implementing partner will be </w:t>
      </w:r>
      <w:r w:rsidRPr="00D60BE9">
        <w:rPr>
          <w:rFonts w:cstheme="minorHAnsi"/>
        </w:rPr>
        <w:t>under the general supervision of the PROSPECTS Sudan Programme Manager and under the direct supervision of</w:t>
      </w:r>
      <w:r>
        <w:rPr>
          <w:rFonts w:cstheme="minorHAnsi"/>
        </w:rPr>
        <w:t xml:space="preserve"> the</w:t>
      </w:r>
      <w:r w:rsidRPr="00D60BE9">
        <w:rPr>
          <w:rFonts w:cstheme="minorHAnsi"/>
        </w:rPr>
        <w:t xml:space="preserve"> EIIP </w:t>
      </w:r>
      <w:r>
        <w:rPr>
          <w:rFonts w:cstheme="minorHAnsi"/>
        </w:rPr>
        <w:t>Specialist</w:t>
      </w:r>
      <w:r w:rsidRPr="00D60BE9">
        <w:rPr>
          <w:rFonts w:cstheme="minorHAnsi"/>
        </w:rPr>
        <w:t xml:space="preserve"> based in </w:t>
      </w:r>
      <w:r>
        <w:rPr>
          <w:rFonts w:cstheme="minorHAnsi"/>
        </w:rPr>
        <w:t>Mogadishu, Somalia</w:t>
      </w:r>
      <w:r w:rsidRPr="00D60BE9">
        <w:rPr>
          <w:rFonts w:cstheme="minorHAnsi"/>
        </w:rPr>
        <w:t>.</w:t>
      </w:r>
      <w:r>
        <w:rPr>
          <w:rFonts w:cstheme="minorHAnsi"/>
        </w:rPr>
        <w:t xml:space="preserve"> </w:t>
      </w:r>
      <w:r w:rsidRPr="00D60BE9">
        <w:rPr>
          <w:rFonts w:cstheme="minorHAnsi"/>
        </w:rPr>
        <w:t xml:space="preserve">The </w:t>
      </w:r>
      <w:r>
        <w:rPr>
          <w:rFonts w:cstheme="minorHAnsi"/>
        </w:rPr>
        <w:t>implementing partner</w:t>
      </w:r>
      <w:r w:rsidRPr="004A6F4A">
        <w:rPr>
          <w:rFonts w:cstheme="minorHAnsi"/>
        </w:rPr>
        <w:t xml:space="preserve"> w</w:t>
      </w:r>
      <w:r w:rsidRPr="00D60BE9">
        <w:rPr>
          <w:rFonts w:cstheme="minorHAnsi"/>
        </w:rPr>
        <w:t xml:space="preserve">ill </w:t>
      </w:r>
      <w:r>
        <w:rPr>
          <w:rFonts w:cstheme="minorHAnsi"/>
        </w:rPr>
        <w:t xml:space="preserve">get technical guidance and </w:t>
      </w:r>
      <w:r w:rsidRPr="00D60BE9">
        <w:rPr>
          <w:rFonts w:cstheme="minorHAnsi"/>
        </w:rPr>
        <w:t>work in close consultation with the PROSPECTS</w:t>
      </w:r>
      <w:r>
        <w:rPr>
          <w:rFonts w:cstheme="minorHAnsi"/>
        </w:rPr>
        <w:t xml:space="preserve">’ national </w:t>
      </w:r>
      <w:r w:rsidRPr="00D60BE9">
        <w:rPr>
          <w:rFonts w:cstheme="minorHAnsi"/>
        </w:rPr>
        <w:t>EIIP Engineer</w:t>
      </w:r>
      <w:r w:rsidRPr="00245D29">
        <w:rPr>
          <w:rFonts w:cstheme="minorHAnsi"/>
        </w:rPr>
        <w:t>.</w:t>
      </w:r>
    </w:p>
    <w:p w14:paraId="481F9B94" w14:textId="564913B0" w:rsidR="00544E5F" w:rsidRPr="00ED2144" w:rsidRDefault="00696A2E" w:rsidP="00AD5304">
      <w:pPr>
        <w:shd w:val="clear" w:color="auto" w:fill="FFFFFF" w:themeFill="background1"/>
        <w:jc w:val="both"/>
        <w:rPr>
          <w:rStyle w:val="Heading2Char"/>
          <w:rFonts w:asciiTheme="minorHAnsi" w:eastAsiaTheme="minorHAnsi" w:hAnsiTheme="minorHAnsi" w:cstheme="minorHAnsi"/>
          <w:color w:val="auto"/>
          <w:sz w:val="22"/>
          <w:szCs w:val="22"/>
        </w:rPr>
      </w:pPr>
      <w:r w:rsidRPr="00D60BE9">
        <w:rPr>
          <w:rFonts w:cstheme="minorHAnsi"/>
        </w:rPr>
        <w:t xml:space="preserve">The ILO will provide support in the design of the work plans with provision of work standards, contract templates, work plan templates, and testing of materials if needed. </w:t>
      </w:r>
    </w:p>
    <w:p w14:paraId="24D78682" w14:textId="5B64E006" w:rsidR="00066BC8" w:rsidRPr="008C2A36" w:rsidRDefault="00636B10" w:rsidP="00AD5304">
      <w:pPr>
        <w:shd w:val="clear" w:color="auto" w:fill="FFFFFF" w:themeFill="background1"/>
        <w:spacing w:after="0" w:line="240" w:lineRule="auto"/>
        <w:jc w:val="both"/>
        <w:rPr>
          <w:rFonts w:asciiTheme="majorHAnsi" w:eastAsiaTheme="majorEastAsia" w:hAnsiTheme="majorHAnsi" w:cstheme="majorBidi"/>
          <w:color w:val="2E74B5" w:themeColor="accent1" w:themeShade="BF"/>
          <w:sz w:val="26"/>
          <w:szCs w:val="26"/>
        </w:rPr>
      </w:pPr>
      <w:r w:rsidRPr="0064058C">
        <w:rPr>
          <w:rStyle w:val="Heading2Char"/>
          <w:caps/>
        </w:rPr>
        <w:t xml:space="preserve">Qualifications </w:t>
      </w:r>
      <w:r w:rsidR="00066BC8" w:rsidRPr="0064058C">
        <w:rPr>
          <w:rStyle w:val="Heading2Char"/>
          <w:caps/>
        </w:rPr>
        <w:t>and Competencies</w:t>
      </w:r>
      <w:r w:rsidR="00066BC8">
        <w:rPr>
          <w:rStyle w:val="Heading2Char"/>
        </w:rPr>
        <w:t>:</w:t>
      </w:r>
    </w:p>
    <w:p w14:paraId="48892ED6" w14:textId="77777777" w:rsidR="008C2A36" w:rsidRPr="00EA1125" w:rsidRDefault="008C2A36" w:rsidP="00AD5304">
      <w:pPr>
        <w:shd w:val="clear" w:color="auto" w:fill="FFFFFF" w:themeFill="background1"/>
        <w:rPr>
          <w:rFonts w:cstheme="minorHAnsi"/>
        </w:rPr>
      </w:pPr>
      <w:r w:rsidRPr="00EA1125">
        <w:rPr>
          <w:rFonts w:cstheme="minorHAnsi"/>
        </w:rPr>
        <w:t xml:space="preserve">The bidders shall meet the following minimum requirements (compliance to be clearly </w:t>
      </w:r>
      <w:r>
        <w:rPr>
          <w:rFonts w:cstheme="minorHAnsi"/>
        </w:rPr>
        <w:t>captured</w:t>
      </w:r>
      <w:r w:rsidRPr="00EA1125">
        <w:rPr>
          <w:rFonts w:cstheme="minorHAnsi"/>
        </w:rPr>
        <w:t xml:space="preserve"> in the proposal):</w:t>
      </w:r>
    </w:p>
    <w:p w14:paraId="51D6A51A" w14:textId="37CE13C2" w:rsidR="008C2A36" w:rsidRPr="00EA1125" w:rsidRDefault="008C2A36" w:rsidP="00AD5304">
      <w:pPr>
        <w:pStyle w:val="ListParagraph"/>
        <w:numPr>
          <w:ilvl w:val="0"/>
          <w:numId w:val="17"/>
        </w:numPr>
        <w:shd w:val="clear" w:color="auto" w:fill="FFFFFF" w:themeFill="background1"/>
        <w:spacing w:after="0" w:line="240" w:lineRule="auto"/>
        <w:contextualSpacing w:val="0"/>
        <w:rPr>
          <w:rFonts w:cstheme="minorHAnsi"/>
        </w:rPr>
      </w:pPr>
      <w:r w:rsidRPr="00EA1125">
        <w:rPr>
          <w:rFonts w:cstheme="minorHAnsi"/>
        </w:rPr>
        <w:t xml:space="preserve">International NGO (INGO) </w:t>
      </w:r>
      <w:r>
        <w:rPr>
          <w:rFonts w:cstheme="minorHAnsi"/>
        </w:rPr>
        <w:t xml:space="preserve">or national NGO </w:t>
      </w:r>
      <w:r w:rsidRPr="00EA1125">
        <w:rPr>
          <w:rFonts w:cstheme="minorHAnsi"/>
        </w:rPr>
        <w:t xml:space="preserve">registered in </w:t>
      </w:r>
      <w:r w:rsidR="0007362F">
        <w:rPr>
          <w:rFonts w:cstheme="minorHAnsi"/>
        </w:rPr>
        <w:t>White Nile</w:t>
      </w:r>
      <w:r>
        <w:rPr>
          <w:rFonts w:cstheme="minorHAnsi"/>
        </w:rPr>
        <w:t xml:space="preserve"> </w:t>
      </w:r>
      <w:r w:rsidR="00D842A6">
        <w:rPr>
          <w:rFonts w:cstheme="minorHAnsi"/>
        </w:rPr>
        <w:t>S</w:t>
      </w:r>
      <w:r>
        <w:rPr>
          <w:rFonts w:cstheme="minorHAnsi"/>
        </w:rPr>
        <w:t>tate</w:t>
      </w:r>
      <w:r w:rsidRPr="00EA1125">
        <w:rPr>
          <w:rFonts w:cstheme="minorHAnsi"/>
        </w:rPr>
        <w:t xml:space="preserve"> (please provide proof of registration)</w:t>
      </w:r>
      <w:r w:rsidR="0068567E">
        <w:rPr>
          <w:rFonts w:cstheme="minorHAnsi"/>
        </w:rPr>
        <w:t xml:space="preserve">. </w:t>
      </w:r>
    </w:p>
    <w:p w14:paraId="3288BCB9" w14:textId="0CB2541D" w:rsidR="008C2A36" w:rsidRPr="00EA1125" w:rsidRDefault="008C2A36" w:rsidP="00AD5304">
      <w:pPr>
        <w:pStyle w:val="ListParagraph"/>
        <w:numPr>
          <w:ilvl w:val="0"/>
          <w:numId w:val="17"/>
        </w:numPr>
        <w:shd w:val="clear" w:color="auto" w:fill="FFFFFF" w:themeFill="background1"/>
        <w:spacing w:after="0" w:line="240" w:lineRule="auto"/>
        <w:contextualSpacing w:val="0"/>
        <w:rPr>
          <w:rFonts w:cstheme="minorHAnsi"/>
        </w:rPr>
      </w:pPr>
      <w:r>
        <w:rPr>
          <w:rFonts w:cstheme="minorHAnsi"/>
        </w:rPr>
        <w:t xml:space="preserve">Has been operating in the </w:t>
      </w:r>
      <w:r w:rsidR="0007362F">
        <w:rPr>
          <w:rFonts w:cstheme="minorHAnsi"/>
        </w:rPr>
        <w:t>White Nile</w:t>
      </w:r>
      <w:r w:rsidR="00D842A6">
        <w:rPr>
          <w:rFonts w:cstheme="minorHAnsi"/>
        </w:rPr>
        <w:t xml:space="preserve"> State</w:t>
      </w:r>
      <w:r w:rsidR="00D842A6" w:rsidRPr="00EA1125">
        <w:rPr>
          <w:rFonts w:cstheme="minorHAnsi"/>
        </w:rPr>
        <w:t xml:space="preserve"> </w:t>
      </w:r>
      <w:r w:rsidRPr="00EA1125">
        <w:rPr>
          <w:rFonts w:cstheme="minorHAnsi"/>
        </w:rPr>
        <w:t xml:space="preserve">for at least </w:t>
      </w:r>
      <w:r>
        <w:rPr>
          <w:rFonts w:cstheme="minorHAnsi"/>
        </w:rPr>
        <w:t>t</w:t>
      </w:r>
      <w:r w:rsidR="0007362F">
        <w:rPr>
          <w:rFonts w:cstheme="minorHAnsi"/>
        </w:rPr>
        <w:t>hree</w:t>
      </w:r>
      <w:r w:rsidRPr="00EA1125">
        <w:rPr>
          <w:rFonts w:cstheme="minorHAnsi"/>
        </w:rPr>
        <w:t xml:space="preserve"> years</w:t>
      </w:r>
      <w:r w:rsidR="0007362F">
        <w:rPr>
          <w:rFonts w:cstheme="minorHAnsi"/>
        </w:rPr>
        <w:t xml:space="preserve">. </w:t>
      </w:r>
    </w:p>
    <w:p w14:paraId="42BCDCB9" w14:textId="3AF205D9" w:rsidR="008C2A36" w:rsidRPr="00EA1125" w:rsidRDefault="008C2A36" w:rsidP="00AD5304">
      <w:pPr>
        <w:pStyle w:val="ListParagraph"/>
        <w:numPr>
          <w:ilvl w:val="0"/>
          <w:numId w:val="17"/>
        </w:numPr>
        <w:shd w:val="clear" w:color="auto" w:fill="FFFFFF" w:themeFill="background1"/>
        <w:spacing w:after="0" w:line="240" w:lineRule="auto"/>
        <w:contextualSpacing w:val="0"/>
        <w:rPr>
          <w:rFonts w:cstheme="minorHAnsi"/>
        </w:rPr>
      </w:pPr>
      <w:r w:rsidRPr="00EA1125">
        <w:rPr>
          <w:rFonts w:cstheme="minorHAnsi"/>
        </w:rPr>
        <w:t>A minimum of three years’ experience in WASH and buildings rehabilitation/construction works</w:t>
      </w:r>
      <w:r>
        <w:rPr>
          <w:rFonts w:cstheme="minorHAnsi"/>
        </w:rPr>
        <w:t xml:space="preserve">. </w:t>
      </w:r>
    </w:p>
    <w:p w14:paraId="626C850A" w14:textId="46305D0D" w:rsidR="008C2A36" w:rsidRDefault="008C2A36" w:rsidP="00AD5304">
      <w:pPr>
        <w:pStyle w:val="ListParagraph"/>
        <w:numPr>
          <w:ilvl w:val="0"/>
          <w:numId w:val="17"/>
        </w:numPr>
        <w:shd w:val="clear" w:color="auto" w:fill="FFFFFF" w:themeFill="background1"/>
        <w:spacing w:after="0" w:line="240" w:lineRule="auto"/>
        <w:contextualSpacing w:val="0"/>
        <w:rPr>
          <w:rFonts w:cstheme="minorHAnsi"/>
        </w:rPr>
      </w:pPr>
      <w:r w:rsidRPr="00EA1125">
        <w:rPr>
          <w:rFonts w:cstheme="minorHAnsi"/>
        </w:rPr>
        <w:t>Able to successfully implement contracts of at least USD 500,000</w:t>
      </w:r>
      <w:r>
        <w:rPr>
          <w:rFonts w:cstheme="minorHAnsi"/>
        </w:rPr>
        <w:t xml:space="preserve"> </w:t>
      </w:r>
      <w:r w:rsidRPr="00EA1125">
        <w:rPr>
          <w:rFonts w:cstheme="minorHAnsi"/>
        </w:rPr>
        <w:t>each annually (please attach at least two project completion certificates in the last five years)</w:t>
      </w:r>
      <w:r w:rsidR="00E75AD1">
        <w:rPr>
          <w:rFonts w:cstheme="minorHAnsi"/>
        </w:rPr>
        <w:t xml:space="preserve">. </w:t>
      </w:r>
    </w:p>
    <w:p w14:paraId="7838B6AF" w14:textId="755B6DBE" w:rsidR="008C2A36" w:rsidRDefault="008C2A36" w:rsidP="00AD5304">
      <w:pPr>
        <w:pStyle w:val="ListParagraph"/>
        <w:numPr>
          <w:ilvl w:val="0"/>
          <w:numId w:val="17"/>
        </w:numPr>
        <w:shd w:val="clear" w:color="auto" w:fill="FFFFFF" w:themeFill="background1"/>
        <w:spacing w:after="0" w:line="240" w:lineRule="auto"/>
        <w:contextualSpacing w:val="0"/>
        <w:rPr>
          <w:rFonts w:cstheme="minorHAnsi"/>
        </w:rPr>
      </w:pPr>
      <w:r w:rsidRPr="00202165">
        <w:rPr>
          <w:rFonts w:cstheme="minorHAnsi"/>
        </w:rPr>
        <w:t xml:space="preserve">Management and technical capacity to implement such infrastructure works </w:t>
      </w:r>
      <w:r w:rsidRPr="00202165">
        <w:rPr>
          <w:sz w:val="23"/>
          <w:szCs w:val="23"/>
        </w:rPr>
        <w:t>(</w:t>
      </w:r>
      <w:r w:rsidRPr="00202165">
        <w:rPr>
          <w:rFonts w:cstheme="minorHAnsi"/>
        </w:rPr>
        <w:t xml:space="preserve">please attach CVs of </w:t>
      </w:r>
      <w:r w:rsidR="0068567E">
        <w:rPr>
          <w:rFonts w:cstheme="minorHAnsi"/>
          <w:b/>
        </w:rPr>
        <w:t>four</w:t>
      </w:r>
      <w:r w:rsidRPr="00202165">
        <w:rPr>
          <w:rFonts w:cstheme="minorHAnsi"/>
          <w:b/>
        </w:rPr>
        <w:t xml:space="preserve"> key staff</w:t>
      </w:r>
      <w:r w:rsidRPr="00202165">
        <w:rPr>
          <w:rFonts w:cstheme="minorHAnsi"/>
        </w:rPr>
        <w:t xml:space="preserve"> for the project: </w:t>
      </w:r>
    </w:p>
    <w:p w14:paraId="32C5408D" w14:textId="479A2018" w:rsidR="008C2A36" w:rsidRPr="00C20C68" w:rsidRDefault="0068567E" w:rsidP="00AD5304">
      <w:pPr>
        <w:pStyle w:val="ListParagraph"/>
        <w:numPr>
          <w:ilvl w:val="0"/>
          <w:numId w:val="18"/>
        </w:numPr>
        <w:shd w:val="clear" w:color="auto" w:fill="FFFFFF" w:themeFill="background1"/>
        <w:spacing w:after="0" w:line="240" w:lineRule="auto"/>
        <w:contextualSpacing w:val="0"/>
        <w:rPr>
          <w:rFonts w:cstheme="minorHAnsi"/>
          <w:b/>
        </w:rPr>
      </w:pPr>
      <w:r>
        <w:rPr>
          <w:rFonts w:cstheme="minorHAnsi"/>
          <w:b/>
        </w:rPr>
        <w:t>2</w:t>
      </w:r>
      <w:r w:rsidR="008C2A36" w:rsidRPr="00202165">
        <w:rPr>
          <w:rFonts w:cstheme="minorHAnsi"/>
          <w:b/>
        </w:rPr>
        <w:t xml:space="preserve"> key technical expert</w:t>
      </w:r>
      <w:r w:rsidR="008C2A36">
        <w:rPr>
          <w:rFonts w:cstheme="minorHAnsi"/>
          <w:b/>
        </w:rPr>
        <w:t xml:space="preserve"> </w:t>
      </w:r>
      <w:r w:rsidR="00F33CA0">
        <w:rPr>
          <w:rFonts w:cstheme="minorHAnsi"/>
          <w:b/>
        </w:rPr>
        <w:t>(civil engineer</w:t>
      </w:r>
      <w:r w:rsidR="005109DA">
        <w:rPr>
          <w:rFonts w:cstheme="minorHAnsi"/>
          <w:b/>
        </w:rPr>
        <w:t>/Architect</w:t>
      </w:r>
      <w:r w:rsidR="00F33CA0">
        <w:rPr>
          <w:rFonts w:cstheme="minorHAnsi"/>
          <w:b/>
        </w:rPr>
        <w:t xml:space="preserve">) </w:t>
      </w:r>
      <w:r w:rsidR="008C2A36">
        <w:rPr>
          <w:rFonts w:cstheme="minorHAnsi"/>
          <w:b/>
        </w:rPr>
        <w:t xml:space="preserve">at field level. </w:t>
      </w:r>
    </w:p>
    <w:p w14:paraId="544A2721" w14:textId="7307034C" w:rsidR="008C2A36" w:rsidRPr="00192EA9" w:rsidRDefault="00007B7C" w:rsidP="00AD5304">
      <w:pPr>
        <w:pStyle w:val="ListParagraph"/>
        <w:numPr>
          <w:ilvl w:val="0"/>
          <w:numId w:val="18"/>
        </w:numPr>
        <w:shd w:val="clear" w:color="auto" w:fill="FFFFFF" w:themeFill="background1"/>
        <w:spacing w:after="0" w:line="240" w:lineRule="auto"/>
        <w:contextualSpacing w:val="0"/>
        <w:rPr>
          <w:rFonts w:cstheme="minorHAnsi"/>
          <w:b/>
        </w:rPr>
      </w:pPr>
      <w:r>
        <w:rPr>
          <w:rFonts w:cstheme="minorHAnsi"/>
          <w:b/>
        </w:rPr>
        <w:t>2</w:t>
      </w:r>
      <w:r w:rsidR="008C2A36" w:rsidRPr="00202165">
        <w:rPr>
          <w:rFonts w:cstheme="minorHAnsi"/>
          <w:b/>
        </w:rPr>
        <w:t xml:space="preserve"> home office</w:t>
      </w:r>
      <w:r>
        <w:rPr>
          <w:rFonts w:cstheme="minorHAnsi"/>
          <w:b/>
        </w:rPr>
        <w:t>r</w:t>
      </w:r>
      <w:r w:rsidR="008C2A36" w:rsidRPr="00202165">
        <w:rPr>
          <w:rFonts w:cstheme="minorHAnsi"/>
          <w:b/>
        </w:rPr>
        <w:t xml:space="preserve"> (</w:t>
      </w:r>
      <w:r>
        <w:rPr>
          <w:rFonts w:cstheme="minorHAnsi"/>
          <w:b/>
        </w:rPr>
        <w:t xml:space="preserve">State and </w:t>
      </w:r>
      <w:r w:rsidR="008C2A36" w:rsidRPr="00202165">
        <w:rPr>
          <w:rFonts w:cstheme="minorHAnsi"/>
          <w:b/>
        </w:rPr>
        <w:t>HQ) supervisor</w:t>
      </w:r>
      <w:r>
        <w:rPr>
          <w:rFonts w:cstheme="minorHAnsi"/>
          <w:b/>
        </w:rPr>
        <w:t>s</w:t>
      </w:r>
      <w:r w:rsidR="008C2A36" w:rsidRPr="00202165">
        <w:rPr>
          <w:rFonts w:cstheme="minorHAnsi"/>
          <w:b/>
        </w:rPr>
        <w:t xml:space="preserve">. </w:t>
      </w:r>
    </w:p>
    <w:p w14:paraId="3BCC08E3" w14:textId="1B3F4B88" w:rsidR="008C2A36" w:rsidRPr="00192EA9" w:rsidRDefault="008C2A36" w:rsidP="00AD5304">
      <w:pPr>
        <w:pStyle w:val="ListParagraph"/>
        <w:numPr>
          <w:ilvl w:val="0"/>
          <w:numId w:val="18"/>
        </w:numPr>
        <w:shd w:val="clear" w:color="auto" w:fill="FFFFFF" w:themeFill="background1"/>
        <w:autoSpaceDE w:val="0"/>
        <w:autoSpaceDN w:val="0"/>
        <w:adjustRightInd w:val="0"/>
        <w:spacing w:after="0" w:line="240" w:lineRule="auto"/>
        <w:contextualSpacing w:val="0"/>
        <w:rPr>
          <w:rFonts w:ascii="Calibri" w:hAnsi="Calibri" w:cs="Calibri"/>
          <w:color w:val="000000"/>
          <w:sz w:val="23"/>
          <w:szCs w:val="23"/>
        </w:rPr>
      </w:pPr>
      <w:r w:rsidRPr="00192EA9">
        <w:rPr>
          <w:rFonts w:cstheme="minorHAnsi"/>
        </w:rPr>
        <w:t xml:space="preserve">Staff costs for the personnel other than the proposed </w:t>
      </w:r>
      <w:r w:rsidR="0068567E">
        <w:rPr>
          <w:rFonts w:cstheme="minorHAnsi"/>
        </w:rPr>
        <w:t>four</w:t>
      </w:r>
      <w:r w:rsidRPr="00192EA9">
        <w:rPr>
          <w:rFonts w:cstheme="minorHAnsi"/>
        </w:rPr>
        <w:t xml:space="preserve"> key staff should be limited to essential technical and administrative support staff costs quoted in percentage. Please note however that an important element of the assessment is competitiveness of the financial offer</w:t>
      </w:r>
      <w:r>
        <w:rPr>
          <w:rFonts w:ascii="Calibri" w:hAnsi="Calibri" w:cs="Calibri"/>
          <w:color w:val="000000"/>
          <w:sz w:val="23"/>
          <w:szCs w:val="23"/>
        </w:rPr>
        <w:t>.</w:t>
      </w:r>
    </w:p>
    <w:p w14:paraId="1D7DB586" w14:textId="0F96BF8E" w:rsidR="008C2A36" w:rsidRPr="00192EA9" w:rsidRDefault="008C2A36" w:rsidP="00AD5304">
      <w:pPr>
        <w:pStyle w:val="ListParagraph"/>
        <w:numPr>
          <w:ilvl w:val="0"/>
          <w:numId w:val="18"/>
        </w:numPr>
        <w:shd w:val="clear" w:color="auto" w:fill="FFFFFF" w:themeFill="background1"/>
        <w:autoSpaceDE w:val="0"/>
        <w:autoSpaceDN w:val="0"/>
        <w:adjustRightInd w:val="0"/>
        <w:spacing w:after="22" w:line="240" w:lineRule="auto"/>
        <w:contextualSpacing w:val="0"/>
        <w:rPr>
          <w:rFonts w:cstheme="minorHAnsi"/>
        </w:rPr>
      </w:pPr>
      <w:r w:rsidRPr="00192EA9">
        <w:rPr>
          <w:rFonts w:cstheme="minorHAnsi"/>
        </w:rPr>
        <w:t>Technical experts should demonstrat</w:t>
      </w:r>
      <w:r w:rsidR="00F33CA0">
        <w:rPr>
          <w:rFonts w:cstheme="minorHAnsi"/>
        </w:rPr>
        <w:t>e</w:t>
      </w:r>
      <w:r w:rsidRPr="00192EA9">
        <w:rPr>
          <w:rFonts w:cstheme="minorHAnsi"/>
        </w:rPr>
        <w:t xml:space="preserve"> a minimum of </w:t>
      </w:r>
      <w:r w:rsidR="00F33CA0">
        <w:rPr>
          <w:rFonts w:cstheme="minorHAnsi"/>
        </w:rPr>
        <w:t>four</w:t>
      </w:r>
      <w:r w:rsidRPr="00192EA9">
        <w:rPr>
          <w:rFonts w:cstheme="minorHAnsi"/>
        </w:rPr>
        <w:t xml:space="preserve"> years of experience in managing infrastructure </w:t>
      </w:r>
      <w:r w:rsidR="00F33CA0">
        <w:rPr>
          <w:rFonts w:cstheme="minorHAnsi"/>
        </w:rPr>
        <w:t>projects</w:t>
      </w:r>
      <w:r w:rsidRPr="00192EA9">
        <w:rPr>
          <w:rFonts w:cstheme="minorHAnsi"/>
        </w:rPr>
        <w:t xml:space="preserve"> in the </w:t>
      </w:r>
      <w:r w:rsidR="00F33CA0">
        <w:rPr>
          <w:rFonts w:cstheme="minorHAnsi"/>
        </w:rPr>
        <w:t xml:space="preserve">construction and </w:t>
      </w:r>
      <w:r w:rsidRPr="00192EA9">
        <w:rPr>
          <w:rFonts w:cstheme="minorHAnsi"/>
        </w:rPr>
        <w:t>WASH sector</w:t>
      </w:r>
      <w:r w:rsidR="00F33CA0">
        <w:rPr>
          <w:rFonts w:cstheme="minorHAnsi"/>
        </w:rPr>
        <w:t>s.</w:t>
      </w:r>
    </w:p>
    <w:p w14:paraId="55922E9B" w14:textId="78C83753" w:rsidR="008C2A36" w:rsidRPr="00192EA9" w:rsidRDefault="008C2A36" w:rsidP="00AD5304">
      <w:pPr>
        <w:pStyle w:val="ListParagraph"/>
        <w:numPr>
          <w:ilvl w:val="0"/>
          <w:numId w:val="18"/>
        </w:numPr>
        <w:shd w:val="clear" w:color="auto" w:fill="FFFFFF" w:themeFill="background1"/>
        <w:autoSpaceDE w:val="0"/>
        <w:autoSpaceDN w:val="0"/>
        <w:adjustRightInd w:val="0"/>
        <w:spacing w:after="0" w:line="240" w:lineRule="auto"/>
        <w:contextualSpacing w:val="0"/>
        <w:rPr>
          <w:rFonts w:cstheme="minorHAnsi"/>
        </w:rPr>
      </w:pPr>
      <w:r w:rsidRPr="00192EA9">
        <w:rPr>
          <w:rFonts w:cstheme="minorHAnsi"/>
        </w:rPr>
        <w:t xml:space="preserve">Home office (HQ) supervisor should demonstrate a minimum of </w:t>
      </w:r>
      <w:r w:rsidR="00F54927">
        <w:rPr>
          <w:rFonts w:cstheme="minorHAnsi"/>
        </w:rPr>
        <w:t>seven</w:t>
      </w:r>
      <w:r w:rsidRPr="00192EA9">
        <w:rPr>
          <w:rFonts w:cstheme="minorHAnsi"/>
        </w:rPr>
        <w:t xml:space="preserve"> years of progressively responsible experience in the implementation of infrastructure pro</w:t>
      </w:r>
      <w:r w:rsidR="00F54927">
        <w:rPr>
          <w:rFonts w:cstheme="minorHAnsi"/>
        </w:rPr>
        <w:t>jects</w:t>
      </w:r>
      <w:r w:rsidRPr="00192EA9">
        <w:rPr>
          <w:rFonts w:cstheme="minorHAnsi"/>
        </w:rPr>
        <w:t xml:space="preserve"> in the </w:t>
      </w:r>
      <w:r w:rsidR="00F54927">
        <w:rPr>
          <w:rFonts w:cstheme="minorHAnsi"/>
        </w:rPr>
        <w:t xml:space="preserve">construction and </w:t>
      </w:r>
      <w:r w:rsidRPr="00192EA9">
        <w:rPr>
          <w:rFonts w:cstheme="minorHAnsi"/>
        </w:rPr>
        <w:t>WASH sector</w:t>
      </w:r>
      <w:r w:rsidR="00F54927">
        <w:rPr>
          <w:rFonts w:cstheme="minorHAnsi"/>
        </w:rPr>
        <w:t>s</w:t>
      </w:r>
      <w:r w:rsidRPr="00192EA9">
        <w:rPr>
          <w:rFonts w:cstheme="minorHAnsi"/>
        </w:rPr>
        <w:t>.</w:t>
      </w:r>
    </w:p>
    <w:p w14:paraId="6412DDC7" w14:textId="6C666CB5" w:rsidR="008C2A36" w:rsidRPr="00202165" w:rsidRDefault="008C2A36" w:rsidP="00AD5304">
      <w:pPr>
        <w:pStyle w:val="ListParagraph"/>
        <w:numPr>
          <w:ilvl w:val="0"/>
          <w:numId w:val="17"/>
        </w:numPr>
        <w:shd w:val="clear" w:color="auto" w:fill="FFFFFF" w:themeFill="background1"/>
        <w:spacing w:after="0" w:line="240" w:lineRule="auto"/>
        <w:contextualSpacing w:val="0"/>
        <w:rPr>
          <w:rFonts w:cstheme="minorHAnsi"/>
        </w:rPr>
      </w:pPr>
      <w:r w:rsidRPr="00202165">
        <w:rPr>
          <w:rFonts w:cstheme="minorHAnsi"/>
        </w:rPr>
        <w:t xml:space="preserve">Experience working with government departments, UN agencies and other international </w:t>
      </w:r>
      <w:r w:rsidR="007442C2" w:rsidRPr="00202165">
        <w:rPr>
          <w:rFonts w:cstheme="minorHAnsi"/>
        </w:rPr>
        <w:t>organizations.</w:t>
      </w:r>
    </w:p>
    <w:p w14:paraId="052334DD" w14:textId="52724BA1" w:rsidR="00F95B4B" w:rsidRPr="00EB4092" w:rsidRDefault="008C2A36" w:rsidP="00AD5304">
      <w:pPr>
        <w:pStyle w:val="ListParagraph"/>
        <w:numPr>
          <w:ilvl w:val="0"/>
          <w:numId w:val="17"/>
        </w:numPr>
        <w:shd w:val="clear" w:color="auto" w:fill="FFFFFF" w:themeFill="background1"/>
        <w:spacing w:after="0" w:line="240" w:lineRule="auto"/>
        <w:contextualSpacing w:val="0"/>
        <w:rPr>
          <w:rFonts w:cstheme="minorHAnsi"/>
        </w:rPr>
      </w:pPr>
      <w:r w:rsidRPr="00EA1125">
        <w:rPr>
          <w:rFonts w:cstheme="minorHAnsi"/>
        </w:rPr>
        <w:t xml:space="preserve">Experience working in humanitarian/refugee settings will be an added </w:t>
      </w:r>
      <w:r w:rsidR="007442C2" w:rsidRPr="00EA1125">
        <w:rPr>
          <w:rFonts w:cstheme="minorHAnsi"/>
        </w:rPr>
        <w:t>advantage.</w:t>
      </w:r>
    </w:p>
    <w:p w14:paraId="3F3B2240" w14:textId="77777777" w:rsidR="00C635C6" w:rsidRDefault="00C635C6" w:rsidP="00AD5304">
      <w:pPr>
        <w:shd w:val="clear" w:color="auto" w:fill="FFFFFF" w:themeFill="background1"/>
        <w:autoSpaceDE w:val="0"/>
        <w:autoSpaceDN w:val="0"/>
        <w:adjustRightInd w:val="0"/>
        <w:spacing w:line="240" w:lineRule="auto"/>
        <w:jc w:val="both"/>
      </w:pPr>
    </w:p>
    <w:p w14:paraId="7BDDCBA4" w14:textId="4459428C" w:rsidR="00F95B4B" w:rsidRDefault="00F95B4B" w:rsidP="00AD5304">
      <w:pPr>
        <w:pStyle w:val="Heading2"/>
        <w:shd w:val="clear" w:color="auto" w:fill="FFFFFF" w:themeFill="background1"/>
      </w:pPr>
      <w:r>
        <w:t>E</w:t>
      </w:r>
      <w:r w:rsidR="00636B10">
        <w:t>VALUATION</w:t>
      </w:r>
      <w:r>
        <w:t xml:space="preserve"> CRITERIA</w:t>
      </w:r>
    </w:p>
    <w:p w14:paraId="5A3ED888" w14:textId="5258392E" w:rsidR="00D33960" w:rsidRDefault="00A74B52" w:rsidP="00AD5304">
      <w:pPr>
        <w:shd w:val="clear" w:color="auto" w:fill="FFFFFF" w:themeFill="background1"/>
      </w:pPr>
      <w:r>
        <w:t xml:space="preserve">The selection of the bidder shall </w:t>
      </w:r>
      <w:r w:rsidR="00D33960">
        <w:t>consider</w:t>
      </w:r>
      <w:r>
        <w:t xml:space="preserve"> the </w:t>
      </w:r>
      <w:r w:rsidR="00AB1457">
        <w:t>bidder</w:t>
      </w:r>
      <w:r>
        <w:t>’</w:t>
      </w:r>
      <w:r w:rsidR="00AB1457">
        <w:t>s</w:t>
      </w:r>
      <w:r>
        <w:t>: (</w:t>
      </w:r>
      <w:proofErr w:type="spellStart"/>
      <w:r>
        <w:t>i</w:t>
      </w:r>
      <w:proofErr w:type="spellEnd"/>
      <w:r>
        <w:t xml:space="preserve">) </w:t>
      </w:r>
      <w:r w:rsidRPr="00667E10">
        <w:rPr>
          <w:b/>
        </w:rPr>
        <w:t>technical expertise</w:t>
      </w:r>
      <w:r>
        <w:t xml:space="preserve">; (ii) </w:t>
      </w:r>
      <w:r w:rsidRPr="00667E10">
        <w:rPr>
          <w:b/>
        </w:rPr>
        <w:t>financial capacity to carry out the programme/project activities and/or produce the outputs, and manage the funds entrusted to them</w:t>
      </w:r>
      <w:r>
        <w:t xml:space="preserve">; and (iii) </w:t>
      </w:r>
      <w:r w:rsidRPr="00667E10">
        <w:rPr>
          <w:b/>
        </w:rPr>
        <w:t>the financial proposal</w:t>
      </w:r>
      <w:r>
        <w:t xml:space="preserve">. </w:t>
      </w:r>
    </w:p>
    <w:p w14:paraId="20573F57" w14:textId="048BD882" w:rsidR="00A74B52" w:rsidRDefault="00A74B52" w:rsidP="00E75AD1">
      <w:pPr>
        <w:shd w:val="clear" w:color="auto" w:fill="FFFFFF" w:themeFill="background1"/>
      </w:pPr>
      <w:r>
        <w:lastRenderedPageBreak/>
        <w:t>Only technically compliant bidders (minimum score 60 points) are allowed to proceed to the final stage of financial comparison. At the final stage, the most cost-effective submission shall be selected.</w:t>
      </w:r>
    </w:p>
    <w:tbl>
      <w:tblPr>
        <w:tblStyle w:val="TableGrid"/>
        <w:tblW w:w="9067" w:type="dxa"/>
        <w:tblLook w:val="04A0" w:firstRow="1" w:lastRow="0" w:firstColumn="1" w:lastColumn="0" w:noHBand="0" w:noVBand="1"/>
      </w:tblPr>
      <w:tblGrid>
        <w:gridCol w:w="7792"/>
        <w:gridCol w:w="1275"/>
      </w:tblGrid>
      <w:tr w:rsidR="00F95B4B" w14:paraId="2941B06C" w14:textId="77777777" w:rsidTr="00E75AD1">
        <w:trPr>
          <w:trHeight w:val="441"/>
        </w:trPr>
        <w:tc>
          <w:tcPr>
            <w:tcW w:w="7792" w:type="dxa"/>
            <w:shd w:val="clear" w:color="auto" w:fill="BFBFBF" w:themeFill="background1" w:themeFillShade="BF"/>
            <w:vAlign w:val="center"/>
          </w:tcPr>
          <w:p w14:paraId="06DA5110" w14:textId="77777777" w:rsidR="00F95B4B" w:rsidRPr="00DE14BD" w:rsidRDefault="00F95B4B" w:rsidP="00AD5304">
            <w:pPr>
              <w:shd w:val="clear" w:color="auto" w:fill="FFFFFF" w:themeFill="background1"/>
              <w:jc w:val="center"/>
              <w:rPr>
                <w:b/>
                <w:bCs/>
              </w:rPr>
            </w:pPr>
            <w:r>
              <w:rPr>
                <w:b/>
                <w:bCs/>
              </w:rPr>
              <w:t>Evaluation C</w:t>
            </w:r>
            <w:r w:rsidRPr="00DE14BD">
              <w:rPr>
                <w:b/>
                <w:bCs/>
              </w:rPr>
              <w:t>riteria</w:t>
            </w:r>
          </w:p>
        </w:tc>
        <w:tc>
          <w:tcPr>
            <w:tcW w:w="1275" w:type="dxa"/>
            <w:shd w:val="clear" w:color="auto" w:fill="BFBFBF" w:themeFill="background1" w:themeFillShade="BF"/>
            <w:vAlign w:val="center"/>
          </w:tcPr>
          <w:p w14:paraId="0064774F" w14:textId="77777777" w:rsidR="00F95B4B" w:rsidRPr="00DE14BD" w:rsidRDefault="00F95B4B" w:rsidP="00AD5304">
            <w:pPr>
              <w:shd w:val="clear" w:color="auto" w:fill="FFFFFF" w:themeFill="background1"/>
              <w:jc w:val="center"/>
              <w:rPr>
                <w:b/>
                <w:bCs/>
              </w:rPr>
            </w:pPr>
            <w:r w:rsidRPr="00DE14BD">
              <w:rPr>
                <w:b/>
                <w:bCs/>
              </w:rPr>
              <w:t>Maximum mark</w:t>
            </w:r>
          </w:p>
        </w:tc>
      </w:tr>
      <w:tr w:rsidR="00F95B4B" w14:paraId="746D10E0" w14:textId="77777777" w:rsidTr="00E75AD1">
        <w:trPr>
          <w:trHeight w:val="417"/>
        </w:trPr>
        <w:tc>
          <w:tcPr>
            <w:tcW w:w="9067" w:type="dxa"/>
            <w:gridSpan w:val="2"/>
            <w:shd w:val="clear" w:color="auto" w:fill="BFBFBF" w:themeFill="background1" w:themeFillShade="BF"/>
            <w:vAlign w:val="center"/>
          </w:tcPr>
          <w:p w14:paraId="5819E4D8" w14:textId="3A21F09F" w:rsidR="00F95B4B" w:rsidRPr="00DE14BD" w:rsidRDefault="006C61D8" w:rsidP="00AD5304">
            <w:pPr>
              <w:pStyle w:val="ListParagraph"/>
              <w:numPr>
                <w:ilvl w:val="0"/>
                <w:numId w:val="11"/>
              </w:numPr>
              <w:shd w:val="clear" w:color="auto" w:fill="FFFFFF" w:themeFill="background1"/>
              <w:rPr>
                <w:b/>
                <w:bCs/>
              </w:rPr>
            </w:pPr>
            <w:r>
              <w:rPr>
                <w:b/>
                <w:bCs/>
              </w:rPr>
              <w:t xml:space="preserve">Technical Expertise </w:t>
            </w:r>
          </w:p>
        </w:tc>
      </w:tr>
      <w:tr w:rsidR="00F95B4B" w14:paraId="703B2D61" w14:textId="77777777" w:rsidTr="00544E5F">
        <w:trPr>
          <w:trHeight w:val="343"/>
        </w:trPr>
        <w:tc>
          <w:tcPr>
            <w:tcW w:w="7792" w:type="dxa"/>
            <w:vAlign w:val="center"/>
          </w:tcPr>
          <w:p w14:paraId="3AD62191" w14:textId="7B2C50B6" w:rsidR="00AD6A59" w:rsidRPr="00DC659C" w:rsidRDefault="00AD6A59" w:rsidP="00AD5304">
            <w:pPr>
              <w:shd w:val="clear" w:color="auto" w:fill="FFFFFF" w:themeFill="background1"/>
              <w:rPr>
                <w:rFonts w:cstheme="minorHAnsi"/>
              </w:rPr>
            </w:pPr>
            <w:r>
              <w:rPr>
                <w:rFonts w:cstheme="minorHAnsi"/>
              </w:rPr>
              <w:t>Qualification of key experts (</w:t>
            </w:r>
            <w:r w:rsidR="00AB3F69">
              <w:rPr>
                <w:rFonts w:cstheme="minorHAnsi"/>
              </w:rPr>
              <w:t>2</w:t>
            </w:r>
            <w:r>
              <w:rPr>
                <w:rFonts w:cstheme="minorHAnsi"/>
              </w:rPr>
              <w:t xml:space="preserve"> key technical staff and </w:t>
            </w:r>
            <w:r w:rsidR="00043D85">
              <w:rPr>
                <w:rFonts w:cstheme="minorHAnsi"/>
              </w:rPr>
              <w:t>2</w:t>
            </w:r>
            <w:r>
              <w:rPr>
                <w:rFonts w:cstheme="minorHAnsi"/>
              </w:rPr>
              <w:t xml:space="preserve"> home office supervisor</w:t>
            </w:r>
            <w:r w:rsidR="00043D85">
              <w:rPr>
                <w:rFonts w:cstheme="minorHAnsi"/>
              </w:rPr>
              <w:t>s</w:t>
            </w:r>
            <w:r>
              <w:rPr>
                <w:rFonts w:cstheme="minorHAnsi"/>
              </w:rPr>
              <w:t>)</w:t>
            </w:r>
          </w:p>
          <w:p w14:paraId="172D5C7C" w14:textId="237A7C74" w:rsidR="00F95B4B" w:rsidRPr="00DE7A18" w:rsidRDefault="00F95B4B" w:rsidP="00AD5304">
            <w:pPr>
              <w:pStyle w:val="ListParagraph"/>
              <w:numPr>
                <w:ilvl w:val="0"/>
                <w:numId w:val="10"/>
              </w:numPr>
              <w:shd w:val="clear" w:color="auto" w:fill="FFFFFF" w:themeFill="background1"/>
              <w:ind w:left="0"/>
              <w:jc w:val="both"/>
              <w:rPr>
                <w:rFonts w:cstheme="minorHAnsi"/>
                <w:color w:val="000000"/>
                <w:sz w:val="20"/>
                <w:szCs w:val="20"/>
              </w:rPr>
            </w:pPr>
          </w:p>
        </w:tc>
        <w:tc>
          <w:tcPr>
            <w:tcW w:w="1275" w:type="dxa"/>
            <w:vAlign w:val="center"/>
          </w:tcPr>
          <w:p w14:paraId="4241C54F" w14:textId="56AC3536" w:rsidR="00F95B4B" w:rsidRDefault="00F353DD" w:rsidP="00AD5304">
            <w:pPr>
              <w:shd w:val="clear" w:color="auto" w:fill="FFFFFF" w:themeFill="background1"/>
              <w:jc w:val="center"/>
            </w:pPr>
            <w:r w:rsidRPr="00EA5678">
              <w:rPr>
                <w:rFonts w:cstheme="minorHAnsi"/>
                <w:b/>
              </w:rPr>
              <w:t>20</w:t>
            </w:r>
            <w:r>
              <w:rPr>
                <w:rFonts w:cstheme="minorHAnsi"/>
                <w:b/>
              </w:rPr>
              <w:t xml:space="preserve"> points</w:t>
            </w:r>
          </w:p>
        </w:tc>
      </w:tr>
      <w:tr w:rsidR="00F95B4B" w14:paraId="5819EC9F" w14:textId="77777777" w:rsidTr="00544E5F">
        <w:trPr>
          <w:trHeight w:val="343"/>
        </w:trPr>
        <w:tc>
          <w:tcPr>
            <w:tcW w:w="7792" w:type="dxa"/>
            <w:vAlign w:val="center"/>
          </w:tcPr>
          <w:p w14:paraId="669413F9" w14:textId="6E215318" w:rsidR="00FD0678" w:rsidRDefault="00FD0678" w:rsidP="00AD5304">
            <w:pPr>
              <w:shd w:val="clear" w:color="auto" w:fill="FFFFFF" w:themeFill="background1"/>
              <w:rPr>
                <w:rFonts w:cstheme="minorHAnsi"/>
              </w:rPr>
            </w:pPr>
            <w:r w:rsidRPr="00DC659C">
              <w:rPr>
                <w:rFonts w:cstheme="minorHAnsi"/>
              </w:rPr>
              <w:t xml:space="preserve">A minimum of three years’ </w:t>
            </w:r>
            <w:r>
              <w:rPr>
                <w:rFonts w:cstheme="minorHAnsi"/>
              </w:rPr>
              <w:t xml:space="preserve">institutional </w:t>
            </w:r>
            <w:r w:rsidRPr="00DC659C">
              <w:rPr>
                <w:rFonts w:cstheme="minorHAnsi"/>
              </w:rPr>
              <w:t>experience in WASH and buildings rehabilitation/construction works</w:t>
            </w:r>
            <w:r w:rsidR="0045573A">
              <w:rPr>
                <w:rFonts w:cstheme="minorHAnsi"/>
              </w:rPr>
              <w:t xml:space="preserve">. </w:t>
            </w:r>
          </w:p>
          <w:p w14:paraId="0F7DBF06" w14:textId="77777777" w:rsidR="00AB3F69" w:rsidRPr="00DC659C" w:rsidRDefault="00AB3F69" w:rsidP="00AD5304">
            <w:pPr>
              <w:shd w:val="clear" w:color="auto" w:fill="FFFFFF" w:themeFill="background1"/>
              <w:rPr>
                <w:rFonts w:cstheme="minorHAnsi"/>
              </w:rPr>
            </w:pPr>
          </w:p>
          <w:p w14:paraId="2EA61AC5" w14:textId="0F19C798" w:rsidR="00FD0678" w:rsidRPr="00DC659C" w:rsidRDefault="00FD0678" w:rsidP="00AD5304">
            <w:pPr>
              <w:shd w:val="clear" w:color="auto" w:fill="FFFFFF" w:themeFill="background1"/>
              <w:rPr>
                <w:rFonts w:cstheme="minorHAnsi"/>
              </w:rPr>
            </w:pPr>
            <w:r w:rsidRPr="00DC659C">
              <w:rPr>
                <w:rFonts w:cstheme="minorHAnsi"/>
              </w:rPr>
              <w:t>Experience working with government departments, UN agencies and other international organizations</w:t>
            </w:r>
            <w:r w:rsidR="0045573A">
              <w:rPr>
                <w:rFonts w:cstheme="minorHAnsi"/>
              </w:rPr>
              <w:t xml:space="preserve">. </w:t>
            </w:r>
          </w:p>
          <w:p w14:paraId="2948DF98" w14:textId="3E00815B" w:rsidR="00F95B4B" w:rsidRPr="00DE7A18" w:rsidRDefault="00F95B4B" w:rsidP="00AD5304">
            <w:pPr>
              <w:shd w:val="clear" w:color="auto" w:fill="FFFFFF" w:themeFill="background1"/>
              <w:rPr>
                <w:sz w:val="20"/>
                <w:szCs w:val="20"/>
              </w:rPr>
            </w:pPr>
          </w:p>
        </w:tc>
        <w:tc>
          <w:tcPr>
            <w:tcW w:w="1275" w:type="dxa"/>
            <w:vAlign w:val="center"/>
          </w:tcPr>
          <w:p w14:paraId="46B05A73" w14:textId="77777777" w:rsidR="00F95B4B" w:rsidRDefault="00FD0678" w:rsidP="00AD5304">
            <w:pPr>
              <w:shd w:val="clear" w:color="auto" w:fill="FFFFFF" w:themeFill="background1"/>
              <w:jc w:val="center"/>
              <w:rPr>
                <w:rFonts w:cstheme="minorHAnsi"/>
                <w:b/>
              </w:rPr>
            </w:pPr>
            <w:r w:rsidRPr="00EA5678">
              <w:rPr>
                <w:rFonts w:cstheme="minorHAnsi"/>
                <w:b/>
              </w:rPr>
              <w:t>20</w:t>
            </w:r>
            <w:r w:rsidR="00EA5678">
              <w:rPr>
                <w:rFonts w:cstheme="minorHAnsi"/>
                <w:b/>
              </w:rPr>
              <w:t xml:space="preserve"> points </w:t>
            </w:r>
          </w:p>
          <w:p w14:paraId="4626FDEA" w14:textId="77777777" w:rsidR="00581AA3" w:rsidRDefault="00581AA3" w:rsidP="00AD5304">
            <w:pPr>
              <w:shd w:val="clear" w:color="auto" w:fill="FFFFFF" w:themeFill="background1"/>
              <w:jc w:val="center"/>
              <w:rPr>
                <w:b/>
              </w:rPr>
            </w:pPr>
          </w:p>
          <w:p w14:paraId="60E7CFA6" w14:textId="77777777" w:rsidR="00581AA3" w:rsidRDefault="00581AA3" w:rsidP="00AD5304">
            <w:pPr>
              <w:shd w:val="clear" w:color="auto" w:fill="FFFFFF" w:themeFill="background1"/>
              <w:jc w:val="center"/>
              <w:rPr>
                <w:rFonts w:cstheme="minorHAnsi"/>
                <w:b/>
              </w:rPr>
            </w:pPr>
            <w:r>
              <w:rPr>
                <w:rFonts w:cstheme="minorHAnsi"/>
                <w:b/>
              </w:rPr>
              <w:t>5</w:t>
            </w:r>
            <w:r w:rsidRPr="00DC659C">
              <w:rPr>
                <w:rFonts w:cstheme="minorHAnsi"/>
                <w:b/>
              </w:rPr>
              <w:t xml:space="preserve"> points</w:t>
            </w:r>
          </w:p>
          <w:p w14:paraId="6BB69FB6" w14:textId="768ACEA8" w:rsidR="00581AA3" w:rsidRDefault="00581AA3" w:rsidP="00AD5304">
            <w:pPr>
              <w:shd w:val="clear" w:color="auto" w:fill="FFFFFF" w:themeFill="background1"/>
              <w:jc w:val="center"/>
            </w:pPr>
          </w:p>
        </w:tc>
      </w:tr>
      <w:tr w:rsidR="00F95B4B" w14:paraId="7D617CB0" w14:textId="77777777" w:rsidTr="00544E5F">
        <w:trPr>
          <w:trHeight w:val="343"/>
        </w:trPr>
        <w:tc>
          <w:tcPr>
            <w:tcW w:w="7792" w:type="dxa"/>
            <w:vAlign w:val="center"/>
          </w:tcPr>
          <w:p w14:paraId="4D878CF9" w14:textId="541971CC" w:rsidR="00FD0678" w:rsidRPr="00DC659C" w:rsidRDefault="00FD0678" w:rsidP="00AD5304">
            <w:pPr>
              <w:shd w:val="clear" w:color="auto" w:fill="FFFFFF" w:themeFill="background1"/>
              <w:rPr>
                <w:rFonts w:cstheme="minorHAnsi"/>
              </w:rPr>
            </w:pPr>
            <w:r w:rsidRPr="00DC659C">
              <w:rPr>
                <w:rFonts w:cstheme="minorHAnsi"/>
              </w:rPr>
              <w:t>Experience working in humanitarian/refugee settings</w:t>
            </w:r>
            <w:r w:rsidR="0045573A">
              <w:rPr>
                <w:rFonts w:cstheme="minorHAnsi"/>
              </w:rPr>
              <w:t xml:space="preserve">. </w:t>
            </w:r>
          </w:p>
          <w:p w14:paraId="759771FD" w14:textId="301A8FBE" w:rsidR="00F95B4B" w:rsidRPr="00DE7A18" w:rsidRDefault="00F95B4B" w:rsidP="00AD5304">
            <w:pPr>
              <w:pStyle w:val="ListParagraph"/>
              <w:numPr>
                <w:ilvl w:val="0"/>
                <w:numId w:val="10"/>
              </w:numPr>
              <w:shd w:val="clear" w:color="auto" w:fill="FFFFFF" w:themeFill="background1"/>
              <w:ind w:left="0"/>
              <w:jc w:val="both"/>
              <w:rPr>
                <w:rFonts w:cstheme="minorHAnsi"/>
                <w:color w:val="000000"/>
                <w:sz w:val="20"/>
                <w:szCs w:val="20"/>
              </w:rPr>
            </w:pPr>
          </w:p>
        </w:tc>
        <w:tc>
          <w:tcPr>
            <w:tcW w:w="1275" w:type="dxa"/>
            <w:vAlign w:val="center"/>
          </w:tcPr>
          <w:p w14:paraId="559BC3AD" w14:textId="77777777" w:rsidR="00EA5678" w:rsidRDefault="00EA5678" w:rsidP="00AD5304">
            <w:pPr>
              <w:shd w:val="clear" w:color="auto" w:fill="FFFFFF" w:themeFill="background1"/>
              <w:jc w:val="center"/>
              <w:rPr>
                <w:rFonts w:cstheme="minorHAnsi"/>
                <w:b/>
              </w:rPr>
            </w:pPr>
            <w:r>
              <w:rPr>
                <w:rFonts w:cstheme="minorHAnsi"/>
                <w:b/>
              </w:rPr>
              <w:t xml:space="preserve">5 </w:t>
            </w:r>
            <w:r w:rsidRPr="00DC659C">
              <w:rPr>
                <w:rFonts w:cstheme="minorHAnsi"/>
                <w:b/>
              </w:rPr>
              <w:t>points</w:t>
            </w:r>
          </w:p>
          <w:p w14:paraId="4DFCFC22" w14:textId="346F624A" w:rsidR="00F95B4B" w:rsidRDefault="00F95B4B" w:rsidP="00AD5304">
            <w:pPr>
              <w:shd w:val="clear" w:color="auto" w:fill="FFFFFF" w:themeFill="background1"/>
              <w:jc w:val="center"/>
            </w:pPr>
          </w:p>
        </w:tc>
      </w:tr>
      <w:tr w:rsidR="00F95B4B" w14:paraId="462DDC2D" w14:textId="77777777" w:rsidTr="00544E5F">
        <w:trPr>
          <w:trHeight w:val="343"/>
        </w:trPr>
        <w:tc>
          <w:tcPr>
            <w:tcW w:w="7792" w:type="dxa"/>
            <w:vAlign w:val="center"/>
          </w:tcPr>
          <w:p w14:paraId="0D786A34" w14:textId="77777777" w:rsidR="00F95B4B" w:rsidRDefault="00F95B4B" w:rsidP="00AD5304">
            <w:pPr>
              <w:shd w:val="clear" w:color="auto" w:fill="FFFFFF" w:themeFill="background1"/>
              <w:rPr>
                <w:b/>
                <w:bCs/>
              </w:rPr>
            </w:pPr>
            <w:r w:rsidRPr="00DE14BD">
              <w:rPr>
                <w:b/>
                <w:bCs/>
              </w:rPr>
              <w:t>Maximum Points</w:t>
            </w:r>
          </w:p>
          <w:p w14:paraId="601B06F7" w14:textId="4C73B1CA" w:rsidR="00CA68DA" w:rsidRPr="00DE14BD" w:rsidRDefault="00CA68DA" w:rsidP="00AD5304">
            <w:pPr>
              <w:shd w:val="clear" w:color="auto" w:fill="FFFFFF" w:themeFill="background1"/>
              <w:rPr>
                <w:b/>
                <w:bCs/>
              </w:rPr>
            </w:pPr>
          </w:p>
        </w:tc>
        <w:tc>
          <w:tcPr>
            <w:tcW w:w="1275" w:type="dxa"/>
            <w:vAlign w:val="center"/>
          </w:tcPr>
          <w:p w14:paraId="07E70EC2" w14:textId="31DFE100" w:rsidR="00F95B4B" w:rsidRPr="00DE14BD" w:rsidRDefault="00BF6BAD" w:rsidP="00AD5304">
            <w:pPr>
              <w:shd w:val="clear" w:color="auto" w:fill="FFFFFF" w:themeFill="background1"/>
              <w:jc w:val="center"/>
              <w:rPr>
                <w:b/>
                <w:bCs/>
              </w:rPr>
            </w:pPr>
            <w:r>
              <w:rPr>
                <w:b/>
                <w:bCs/>
              </w:rPr>
              <w:t>50</w:t>
            </w:r>
            <w:r w:rsidR="00583D42">
              <w:rPr>
                <w:b/>
                <w:bCs/>
              </w:rPr>
              <w:t xml:space="preserve"> points </w:t>
            </w:r>
          </w:p>
        </w:tc>
      </w:tr>
      <w:tr w:rsidR="00F95B4B" w14:paraId="7518A11F" w14:textId="77777777" w:rsidTr="00977805">
        <w:trPr>
          <w:trHeight w:val="416"/>
        </w:trPr>
        <w:tc>
          <w:tcPr>
            <w:tcW w:w="9067" w:type="dxa"/>
            <w:gridSpan w:val="2"/>
            <w:shd w:val="clear" w:color="auto" w:fill="D5DCE4" w:themeFill="text2" w:themeFillTint="33"/>
            <w:vAlign w:val="center"/>
          </w:tcPr>
          <w:p w14:paraId="686490EC" w14:textId="76378BC2" w:rsidR="00F95B4B" w:rsidRPr="00DE14BD" w:rsidRDefault="00E75AD1" w:rsidP="00AD5304">
            <w:pPr>
              <w:pStyle w:val="ListParagraph"/>
              <w:numPr>
                <w:ilvl w:val="0"/>
                <w:numId w:val="11"/>
              </w:numPr>
              <w:shd w:val="clear" w:color="auto" w:fill="FFFFFF" w:themeFill="background1"/>
              <w:rPr>
                <w:b/>
                <w:bCs/>
              </w:rPr>
            </w:pPr>
            <w:r>
              <w:rPr>
                <w:b/>
                <w:bCs/>
              </w:rPr>
              <w:t>F</w:t>
            </w:r>
            <w:r w:rsidR="007D2E7D">
              <w:rPr>
                <w:b/>
                <w:bCs/>
              </w:rPr>
              <w:t>inancial capacity</w:t>
            </w:r>
            <w:r w:rsidR="00F95B4B" w:rsidRPr="00DE14BD">
              <w:rPr>
                <w:b/>
                <w:bCs/>
              </w:rPr>
              <w:t xml:space="preserve"> to deliver the </w:t>
            </w:r>
            <w:proofErr w:type="spellStart"/>
            <w:r w:rsidR="00F95B4B" w:rsidRPr="00DE14BD">
              <w:rPr>
                <w:b/>
                <w:bCs/>
              </w:rPr>
              <w:t>ToR’s</w:t>
            </w:r>
            <w:proofErr w:type="spellEnd"/>
            <w:r w:rsidR="00F95B4B" w:rsidRPr="00DE14BD">
              <w:rPr>
                <w:b/>
                <w:bCs/>
              </w:rPr>
              <w:t xml:space="preserve"> scope of work</w:t>
            </w:r>
          </w:p>
        </w:tc>
      </w:tr>
      <w:tr w:rsidR="00F95B4B" w14:paraId="50656E7C" w14:textId="77777777" w:rsidTr="00544E5F">
        <w:trPr>
          <w:trHeight w:val="376"/>
        </w:trPr>
        <w:tc>
          <w:tcPr>
            <w:tcW w:w="7792" w:type="dxa"/>
            <w:vAlign w:val="center"/>
          </w:tcPr>
          <w:p w14:paraId="5AEFE100" w14:textId="5E6B205C" w:rsidR="007D2E7D" w:rsidRDefault="007D2E7D" w:rsidP="00AD5304">
            <w:pPr>
              <w:shd w:val="clear" w:color="auto" w:fill="FFFFFF" w:themeFill="background1"/>
            </w:pPr>
            <w:r w:rsidRPr="00DC659C">
              <w:rPr>
                <w:rFonts w:cstheme="minorHAnsi"/>
              </w:rPr>
              <w:t>Description of the methodology and work plan for performing the assignment</w:t>
            </w:r>
            <w:r>
              <w:rPr>
                <w:rFonts w:cstheme="minorHAnsi"/>
              </w:rPr>
              <w:t>.</w:t>
            </w:r>
          </w:p>
          <w:p w14:paraId="4CEA17F9" w14:textId="287C1721" w:rsidR="00F95B4B" w:rsidRPr="004A6EE6" w:rsidRDefault="00F95B4B" w:rsidP="00AD5304">
            <w:pPr>
              <w:shd w:val="clear" w:color="auto" w:fill="FFFFFF" w:themeFill="background1"/>
              <w:rPr>
                <w:sz w:val="20"/>
                <w:szCs w:val="20"/>
              </w:rPr>
            </w:pPr>
          </w:p>
        </w:tc>
        <w:tc>
          <w:tcPr>
            <w:tcW w:w="1275" w:type="dxa"/>
            <w:vAlign w:val="center"/>
          </w:tcPr>
          <w:p w14:paraId="4BA69315" w14:textId="252F8781" w:rsidR="00F95B4B" w:rsidRDefault="00C906BA" w:rsidP="00AD5304">
            <w:pPr>
              <w:shd w:val="clear" w:color="auto" w:fill="FFFFFF" w:themeFill="background1"/>
              <w:jc w:val="center"/>
            </w:pPr>
            <w:r>
              <w:rPr>
                <w:b/>
                <w:bCs/>
              </w:rPr>
              <w:t>20 points</w:t>
            </w:r>
          </w:p>
        </w:tc>
      </w:tr>
      <w:tr w:rsidR="00577A06" w14:paraId="35217722" w14:textId="77777777" w:rsidTr="00544E5F">
        <w:trPr>
          <w:trHeight w:val="376"/>
        </w:trPr>
        <w:tc>
          <w:tcPr>
            <w:tcW w:w="7792" w:type="dxa"/>
            <w:vAlign w:val="center"/>
          </w:tcPr>
          <w:p w14:paraId="69E3D855" w14:textId="1F29B6BA" w:rsidR="00577A06" w:rsidRDefault="00577A06" w:rsidP="00AD5304">
            <w:pPr>
              <w:shd w:val="clear" w:color="auto" w:fill="FFFFFF" w:themeFill="background1"/>
              <w:rPr>
                <w:rFonts w:cstheme="minorHAnsi"/>
              </w:rPr>
            </w:pPr>
            <w:r>
              <w:rPr>
                <w:rFonts w:cstheme="minorHAnsi"/>
              </w:rPr>
              <w:t xml:space="preserve">The ability to successfully implement </w:t>
            </w:r>
            <w:r w:rsidR="00BB17C2">
              <w:rPr>
                <w:rFonts w:cstheme="minorHAnsi"/>
              </w:rPr>
              <w:t xml:space="preserve">and manage </w:t>
            </w:r>
            <w:r>
              <w:rPr>
                <w:rFonts w:cstheme="minorHAnsi"/>
              </w:rPr>
              <w:t>contracts of at least USD 500,000 including the e</w:t>
            </w:r>
            <w:r w:rsidRPr="00DC659C">
              <w:rPr>
                <w:rFonts w:cstheme="minorHAnsi"/>
              </w:rPr>
              <w:t>stimates of the total staff input (professional and support staff; staff time) needed to carry out the assignment, supported by bar chart diagrams showing the time proposed for eac</w:t>
            </w:r>
            <w:r>
              <w:rPr>
                <w:rFonts w:cstheme="minorHAnsi"/>
              </w:rPr>
              <w:t>h professional staff team member.</w:t>
            </w:r>
          </w:p>
          <w:p w14:paraId="53D963FD" w14:textId="77777777" w:rsidR="00577A06" w:rsidRPr="00DC659C" w:rsidRDefault="00577A06" w:rsidP="00AD5304">
            <w:pPr>
              <w:shd w:val="clear" w:color="auto" w:fill="FFFFFF" w:themeFill="background1"/>
              <w:rPr>
                <w:rFonts w:cstheme="minorHAnsi"/>
              </w:rPr>
            </w:pPr>
          </w:p>
        </w:tc>
        <w:tc>
          <w:tcPr>
            <w:tcW w:w="1275" w:type="dxa"/>
            <w:vAlign w:val="center"/>
          </w:tcPr>
          <w:p w14:paraId="55DDB2CE" w14:textId="1A3C9C29" w:rsidR="00577A06" w:rsidRDefault="00577A06" w:rsidP="00AD5304">
            <w:pPr>
              <w:shd w:val="clear" w:color="auto" w:fill="FFFFFF" w:themeFill="background1"/>
              <w:jc w:val="center"/>
              <w:rPr>
                <w:b/>
                <w:bCs/>
              </w:rPr>
            </w:pPr>
            <w:r>
              <w:rPr>
                <w:b/>
                <w:bCs/>
              </w:rPr>
              <w:t>15 points</w:t>
            </w:r>
          </w:p>
        </w:tc>
      </w:tr>
      <w:tr w:rsidR="00F95B4B" w14:paraId="160381A5" w14:textId="77777777" w:rsidTr="00544E5F">
        <w:trPr>
          <w:trHeight w:val="376"/>
        </w:trPr>
        <w:tc>
          <w:tcPr>
            <w:tcW w:w="7792" w:type="dxa"/>
            <w:vAlign w:val="center"/>
          </w:tcPr>
          <w:p w14:paraId="63BBC435" w14:textId="203FE9F0" w:rsidR="00414657" w:rsidRPr="00DC659C" w:rsidRDefault="00414657" w:rsidP="00AD5304">
            <w:pPr>
              <w:shd w:val="clear" w:color="auto" w:fill="FFFFFF" w:themeFill="background1"/>
              <w:rPr>
                <w:rFonts w:cstheme="minorHAnsi"/>
              </w:rPr>
            </w:pPr>
            <w:r w:rsidRPr="00DC659C">
              <w:rPr>
                <w:rFonts w:cstheme="minorHAnsi"/>
              </w:rPr>
              <w:t xml:space="preserve">Management and technical capacity to implement such infrastructure works (please attach CVs of at least </w:t>
            </w:r>
            <w:r w:rsidR="00AB3F69">
              <w:rPr>
                <w:rFonts w:cstheme="minorHAnsi"/>
              </w:rPr>
              <w:t>four</w:t>
            </w:r>
            <w:r w:rsidRPr="00DC659C">
              <w:rPr>
                <w:rFonts w:cstheme="minorHAnsi"/>
              </w:rPr>
              <w:t xml:space="preserve"> proposed staff – </w:t>
            </w:r>
            <w:r w:rsidR="00AB3F69">
              <w:rPr>
                <w:rFonts w:cstheme="minorHAnsi"/>
              </w:rPr>
              <w:t>2</w:t>
            </w:r>
            <w:r w:rsidRPr="00DC659C">
              <w:rPr>
                <w:rFonts w:cstheme="minorHAnsi"/>
              </w:rPr>
              <w:t xml:space="preserve"> management, 2 technical)</w:t>
            </w:r>
          </w:p>
          <w:p w14:paraId="5E4C6D6D" w14:textId="21431D51" w:rsidR="00F95B4B" w:rsidRPr="004A6EE6" w:rsidRDefault="00F95B4B" w:rsidP="00AD5304">
            <w:pPr>
              <w:shd w:val="clear" w:color="auto" w:fill="FFFFFF" w:themeFill="background1"/>
              <w:jc w:val="both"/>
              <w:rPr>
                <w:sz w:val="20"/>
                <w:szCs w:val="20"/>
              </w:rPr>
            </w:pPr>
          </w:p>
        </w:tc>
        <w:tc>
          <w:tcPr>
            <w:tcW w:w="1275" w:type="dxa"/>
            <w:vAlign w:val="center"/>
          </w:tcPr>
          <w:p w14:paraId="350EDB65" w14:textId="58B83A61" w:rsidR="00F95B4B" w:rsidRDefault="00414657" w:rsidP="00AD5304">
            <w:pPr>
              <w:shd w:val="clear" w:color="auto" w:fill="FFFFFF" w:themeFill="background1"/>
              <w:jc w:val="center"/>
            </w:pPr>
            <w:r>
              <w:rPr>
                <w:b/>
                <w:bCs/>
              </w:rPr>
              <w:t>15 points</w:t>
            </w:r>
          </w:p>
        </w:tc>
      </w:tr>
      <w:tr w:rsidR="00F95B4B" w14:paraId="36FFDA7E" w14:textId="77777777" w:rsidTr="00544E5F">
        <w:trPr>
          <w:trHeight w:val="376"/>
        </w:trPr>
        <w:tc>
          <w:tcPr>
            <w:tcW w:w="7792" w:type="dxa"/>
            <w:vAlign w:val="center"/>
          </w:tcPr>
          <w:p w14:paraId="1F914327" w14:textId="77777777" w:rsidR="00F95B4B" w:rsidRPr="009E7693" w:rsidRDefault="00F95B4B" w:rsidP="00AD5304">
            <w:pPr>
              <w:shd w:val="clear" w:color="auto" w:fill="FFFFFF" w:themeFill="background1"/>
              <w:rPr>
                <w:b/>
                <w:bCs/>
              </w:rPr>
            </w:pPr>
            <w:r w:rsidRPr="00DE1979">
              <w:rPr>
                <w:b/>
                <w:bCs/>
              </w:rPr>
              <w:t>Maximum Points</w:t>
            </w:r>
          </w:p>
        </w:tc>
        <w:tc>
          <w:tcPr>
            <w:tcW w:w="1275" w:type="dxa"/>
            <w:vAlign w:val="center"/>
          </w:tcPr>
          <w:p w14:paraId="22C9E917" w14:textId="0FFE862D" w:rsidR="00F95B4B" w:rsidRDefault="004645E4" w:rsidP="00AD5304">
            <w:pPr>
              <w:shd w:val="clear" w:color="auto" w:fill="FFFFFF" w:themeFill="background1"/>
              <w:jc w:val="center"/>
            </w:pPr>
            <w:r>
              <w:rPr>
                <w:b/>
                <w:bCs/>
              </w:rPr>
              <w:t>50 points</w:t>
            </w:r>
          </w:p>
        </w:tc>
      </w:tr>
      <w:tr w:rsidR="00F95B4B" w14:paraId="1A7F1424" w14:textId="77777777" w:rsidTr="00544E5F">
        <w:trPr>
          <w:trHeight w:val="376"/>
        </w:trPr>
        <w:tc>
          <w:tcPr>
            <w:tcW w:w="7792" w:type="dxa"/>
            <w:vAlign w:val="center"/>
          </w:tcPr>
          <w:p w14:paraId="106DE406" w14:textId="5B078C2F" w:rsidR="00F95B4B" w:rsidRDefault="00F95B4B" w:rsidP="00AD5304">
            <w:pPr>
              <w:shd w:val="clear" w:color="auto" w:fill="FFFFFF" w:themeFill="background1"/>
            </w:pPr>
            <w:r>
              <w:t>Total for Both Section A (</w:t>
            </w:r>
            <w:r w:rsidR="00D5268E">
              <w:t>5</w:t>
            </w:r>
            <w:r>
              <w:t>0 Points) and Section B (</w:t>
            </w:r>
            <w:r w:rsidR="00D5268E">
              <w:t>5</w:t>
            </w:r>
            <w:r>
              <w:t>0 Points)</w:t>
            </w:r>
          </w:p>
        </w:tc>
        <w:tc>
          <w:tcPr>
            <w:tcW w:w="1275" w:type="dxa"/>
            <w:vAlign w:val="center"/>
          </w:tcPr>
          <w:p w14:paraId="62D18242" w14:textId="47C6935F" w:rsidR="00F95B4B" w:rsidRPr="00900A79" w:rsidRDefault="006D4D91" w:rsidP="00AD5304">
            <w:pPr>
              <w:shd w:val="clear" w:color="auto" w:fill="FFFFFF" w:themeFill="background1"/>
              <w:jc w:val="center"/>
              <w:rPr>
                <w:b/>
              </w:rPr>
            </w:pPr>
            <w:r>
              <w:rPr>
                <w:b/>
              </w:rPr>
              <w:t>100</w:t>
            </w:r>
          </w:p>
        </w:tc>
      </w:tr>
      <w:tr w:rsidR="00F95B4B" w14:paraId="7834C753" w14:textId="77777777" w:rsidTr="00544E5F">
        <w:trPr>
          <w:trHeight w:val="376"/>
        </w:trPr>
        <w:tc>
          <w:tcPr>
            <w:tcW w:w="7792" w:type="dxa"/>
            <w:vAlign w:val="center"/>
          </w:tcPr>
          <w:p w14:paraId="18346DB7" w14:textId="5B184D37" w:rsidR="00F95B4B" w:rsidRDefault="00F95B4B" w:rsidP="00AD5304">
            <w:pPr>
              <w:shd w:val="clear" w:color="auto" w:fill="FFFFFF" w:themeFill="background1"/>
            </w:pPr>
            <w:r>
              <w:t>Minimum Acceptable Score for Proposal to be considered for financial evaluation.</w:t>
            </w:r>
          </w:p>
        </w:tc>
        <w:tc>
          <w:tcPr>
            <w:tcW w:w="1275" w:type="dxa"/>
            <w:vAlign w:val="center"/>
          </w:tcPr>
          <w:p w14:paraId="2E61C7A5" w14:textId="05F1ACF5" w:rsidR="00F95B4B" w:rsidRDefault="00544E5F" w:rsidP="00AD5304">
            <w:pPr>
              <w:shd w:val="clear" w:color="auto" w:fill="FFFFFF" w:themeFill="background1"/>
              <w:jc w:val="center"/>
            </w:pPr>
            <w:r>
              <w:t>6</w:t>
            </w:r>
            <w:r w:rsidR="00F95B4B">
              <w:t>0</w:t>
            </w:r>
          </w:p>
        </w:tc>
      </w:tr>
    </w:tbl>
    <w:p w14:paraId="2651297C" w14:textId="77777777" w:rsidR="00C41ED6" w:rsidRPr="00544E5F" w:rsidRDefault="00C41ED6" w:rsidP="00AD5304">
      <w:pPr>
        <w:shd w:val="clear" w:color="auto" w:fill="FFFFFF" w:themeFill="background1"/>
      </w:pPr>
    </w:p>
    <w:p w14:paraId="51338E14" w14:textId="2F66CB8B" w:rsidR="00432A2A" w:rsidRPr="00432A2A" w:rsidRDefault="00636B10" w:rsidP="00AD5304">
      <w:pPr>
        <w:pStyle w:val="Heading2"/>
        <w:shd w:val="clear" w:color="auto" w:fill="FFFFFF" w:themeFill="background1"/>
      </w:pPr>
      <w:r>
        <w:t>PAYMENT SCHEDULE</w:t>
      </w:r>
    </w:p>
    <w:p w14:paraId="3AE9C102" w14:textId="1E0D0304" w:rsidR="000C00D3" w:rsidRPr="00751D77" w:rsidRDefault="00751D77" w:rsidP="00AD5304">
      <w:pPr>
        <w:shd w:val="clear" w:color="auto" w:fill="FFFFFF" w:themeFill="background1"/>
      </w:pPr>
      <w:r w:rsidRPr="00751D77">
        <w:t xml:space="preserve">This assignment will be implemented within a period of up to </w:t>
      </w:r>
      <w:r w:rsidR="0045573A">
        <w:t>9</w:t>
      </w:r>
      <w:r w:rsidRPr="00751D77">
        <w:t xml:space="preserve"> months, ending no later than </w:t>
      </w:r>
      <w:r w:rsidR="0045573A">
        <w:rPr>
          <w:b/>
          <w:bCs/>
          <w:u w:val="single"/>
        </w:rPr>
        <w:t>31</w:t>
      </w:r>
      <w:r w:rsidR="00AB01E8">
        <w:rPr>
          <w:b/>
          <w:bCs/>
          <w:u w:val="single"/>
          <w:vertAlign w:val="superscript"/>
        </w:rPr>
        <w:t xml:space="preserve">st </w:t>
      </w:r>
      <w:r w:rsidR="0045573A">
        <w:rPr>
          <w:b/>
          <w:bCs/>
          <w:u w:val="single"/>
        </w:rPr>
        <w:t>December</w:t>
      </w:r>
      <w:r w:rsidRPr="000C00D3">
        <w:rPr>
          <w:b/>
          <w:bCs/>
          <w:u w:val="single"/>
        </w:rPr>
        <w:t xml:space="preserve"> 202</w:t>
      </w:r>
      <w:r w:rsidR="0045573A">
        <w:rPr>
          <w:b/>
          <w:bCs/>
          <w:u w:val="single"/>
        </w:rPr>
        <w:t>4</w:t>
      </w:r>
      <w:r w:rsidRPr="00751D77">
        <w:t xml:space="preserve">. The bidder in its technical proposal shall include a detailed work plan for the overall management of the tasks outlined in the TOR. </w:t>
      </w:r>
    </w:p>
    <w:p w14:paraId="77CA4225" w14:textId="4D4FB212" w:rsidR="00751D77" w:rsidRPr="00751D77" w:rsidRDefault="000C00D3" w:rsidP="00AD5304">
      <w:pPr>
        <w:shd w:val="clear" w:color="auto" w:fill="FFFFFF" w:themeFill="background1"/>
      </w:pPr>
      <w:r>
        <w:t>Payment and financial r</w:t>
      </w:r>
      <w:r w:rsidR="00751D77" w:rsidRPr="00751D77">
        <w:t xml:space="preserve">esources will be released upon submission of </w:t>
      </w:r>
      <w:r w:rsidR="00A4228E">
        <w:t>the below reports</w:t>
      </w:r>
      <w:r w:rsidR="00751D77" w:rsidRPr="00751D77">
        <w:t>:</w:t>
      </w:r>
    </w:p>
    <w:p w14:paraId="25588E43" w14:textId="6C6EBD1C" w:rsidR="00751D77" w:rsidRPr="00EA1125" w:rsidRDefault="00751D77" w:rsidP="00AD5304">
      <w:pPr>
        <w:numPr>
          <w:ilvl w:val="0"/>
          <w:numId w:val="16"/>
        </w:numPr>
        <w:shd w:val="clear" w:color="auto" w:fill="FFFFFF" w:themeFill="background1"/>
        <w:spacing w:after="0" w:line="240" w:lineRule="auto"/>
        <w:jc w:val="both"/>
        <w:rPr>
          <w:rFonts w:cstheme="minorHAnsi"/>
        </w:rPr>
      </w:pPr>
      <w:r w:rsidRPr="00EA1125">
        <w:rPr>
          <w:rFonts w:cstheme="minorHAnsi"/>
        </w:rPr>
        <w:t xml:space="preserve">(15%) as a first payment after submission of </w:t>
      </w:r>
      <w:r w:rsidR="002148B5">
        <w:rPr>
          <w:rFonts w:cstheme="minorHAnsi"/>
        </w:rPr>
        <w:t>D</w:t>
      </w:r>
      <w:r w:rsidR="00E95416">
        <w:rPr>
          <w:rFonts w:cstheme="minorHAnsi"/>
        </w:rPr>
        <w:t>eliverable-1 (</w:t>
      </w:r>
      <w:r w:rsidRPr="00EA1125">
        <w:rPr>
          <w:rFonts w:cstheme="minorHAnsi"/>
        </w:rPr>
        <w:t>Inception report</w:t>
      </w:r>
      <w:r w:rsidR="00E95416">
        <w:rPr>
          <w:rFonts w:cstheme="minorHAnsi"/>
        </w:rPr>
        <w:t xml:space="preserve">). </w:t>
      </w:r>
    </w:p>
    <w:p w14:paraId="51566DE4" w14:textId="0382EE7D" w:rsidR="00751D77" w:rsidRPr="00EA1125" w:rsidRDefault="00751D77" w:rsidP="00AD5304">
      <w:pPr>
        <w:numPr>
          <w:ilvl w:val="0"/>
          <w:numId w:val="16"/>
        </w:numPr>
        <w:shd w:val="clear" w:color="auto" w:fill="FFFFFF" w:themeFill="background1"/>
        <w:spacing w:after="0" w:line="240" w:lineRule="auto"/>
        <w:jc w:val="both"/>
        <w:rPr>
          <w:rFonts w:cstheme="minorHAnsi"/>
        </w:rPr>
      </w:pPr>
      <w:r w:rsidRPr="00EA1125">
        <w:rPr>
          <w:rFonts w:cstheme="minorHAnsi"/>
        </w:rPr>
        <w:t>(2</w:t>
      </w:r>
      <w:r w:rsidR="00734D9D">
        <w:rPr>
          <w:rFonts w:cstheme="minorHAnsi"/>
        </w:rPr>
        <w:t>0</w:t>
      </w:r>
      <w:r w:rsidRPr="00EA1125">
        <w:rPr>
          <w:rFonts w:cstheme="minorHAnsi"/>
        </w:rPr>
        <w:t xml:space="preserve">%) as a second payment upon timely submission </w:t>
      </w:r>
      <w:r w:rsidR="00A4228E">
        <w:rPr>
          <w:rFonts w:cstheme="minorHAnsi"/>
        </w:rPr>
        <w:t xml:space="preserve">and approval </w:t>
      </w:r>
      <w:r w:rsidRPr="00EA1125">
        <w:rPr>
          <w:rFonts w:cstheme="minorHAnsi"/>
        </w:rPr>
        <w:t xml:space="preserve">of </w:t>
      </w:r>
      <w:r w:rsidR="002148B5">
        <w:rPr>
          <w:rFonts w:cstheme="minorHAnsi"/>
        </w:rPr>
        <w:t>D</w:t>
      </w:r>
      <w:r w:rsidR="00E95416">
        <w:rPr>
          <w:rFonts w:cstheme="minorHAnsi"/>
        </w:rPr>
        <w:t>eliverable-2.</w:t>
      </w:r>
    </w:p>
    <w:p w14:paraId="7BC29D97" w14:textId="6624359A" w:rsidR="00751D77" w:rsidRPr="00EA1125" w:rsidRDefault="00751D77" w:rsidP="00AD5304">
      <w:pPr>
        <w:numPr>
          <w:ilvl w:val="0"/>
          <w:numId w:val="16"/>
        </w:numPr>
        <w:shd w:val="clear" w:color="auto" w:fill="FFFFFF" w:themeFill="background1"/>
        <w:spacing w:after="0" w:line="240" w:lineRule="auto"/>
        <w:jc w:val="both"/>
        <w:rPr>
          <w:rFonts w:cstheme="minorHAnsi"/>
        </w:rPr>
      </w:pPr>
      <w:r w:rsidRPr="00EA1125">
        <w:rPr>
          <w:rFonts w:cstheme="minorHAnsi"/>
        </w:rPr>
        <w:t>(</w:t>
      </w:r>
      <w:r w:rsidR="00542958">
        <w:rPr>
          <w:rFonts w:cstheme="minorHAnsi"/>
        </w:rPr>
        <w:t>5</w:t>
      </w:r>
      <w:r w:rsidR="00734D9D">
        <w:rPr>
          <w:rFonts w:cstheme="minorHAnsi"/>
        </w:rPr>
        <w:t>5</w:t>
      </w:r>
      <w:r w:rsidRPr="00EA1125">
        <w:rPr>
          <w:rFonts w:cstheme="minorHAnsi"/>
        </w:rPr>
        <w:t xml:space="preserve">%) as a third payment upon timely submission </w:t>
      </w:r>
      <w:r w:rsidR="00A4228E">
        <w:rPr>
          <w:rFonts w:cstheme="minorHAnsi"/>
        </w:rPr>
        <w:t xml:space="preserve">and approval </w:t>
      </w:r>
      <w:r w:rsidRPr="00EA1125">
        <w:rPr>
          <w:rFonts w:cstheme="minorHAnsi"/>
        </w:rPr>
        <w:t xml:space="preserve">of </w:t>
      </w:r>
      <w:r w:rsidR="002148B5">
        <w:rPr>
          <w:rFonts w:cstheme="minorHAnsi"/>
        </w:rPr>
        <w:t>D</w:t>
      </w:r>
      <w:r w:rsidR="00E95416">
        <w:rPr>
          <w:rFonts w:cstheme="minorHAnsi"/>
        </w:rPr>
        <w:t xml:space="preserve">eliverable-3. </w:t>
      </w:r>
    </w:p>
    <w:p w14:paraId="74249AEB" w14:textId="3A5D4339" w:rsidR="00751D77" w:rsidRPr="00EA1125" w:rsidRDefault="00751D77" w:rsidP="00AD5304">
      <w:pPr>
        <w:numPr>
          <w:ilvl w:val="0"/>
          <w:numId w:val="16"/>
        </w:numPr>
        <w:shd w:val="clear" w:color="auto" w:fill="FFFFFF" w:themeFill="background1"/>
        <w:spacing w:after="0" w:line="240" w:lineRule="auto"/>
        <w:jc w:val="both"/>
        <w:rPr>
          <w:rFonts w:cstheme="minorHAnsi"/>
        </w:rPr>
      </w:pPr>
      <w:r w:rsidRPr="00EA1125">
        <w:rPr>
          <w:rFonts w:cstheme="minorHAnsi"/>
        </w:rPr>
        <w:t>(</w:t>
      </w:r>
      <w:r w:rsidR="00542958">
        <w:rPr>
          <w:rFonts w:cstheme="minorHAnsi"/>
        </w:rPr>
        <w:t>5</w:t>
      </w:r>
      <w:r w:rsidRPr="00EA1125">
        <w:rPr>
          <w:rFonts w:cstheme="minorHAnsi"/>
        </w:rPr>
        <w:t xml:space="preserve">%) as a fourth payment upon timely submission </w:t>
      </w:r>
      <w:r w:rsidR="00A4228E">
        <w:rPr>
          <w:rFonts w:cstheme="minorHAnsi"/>
        </w:rPr>
        <w:t xml:space="preserve">and approval </w:t>
      </w:r>
      <w:r w:rsidRPr="00EA1125">
        <w:rPr>
          <w:rFonts w:cstheme="minorHAnsi"/>
        </w:rPr>
        <w:t xml:space="preserve">of </w:t>
      </w:r>
      <w:r w:rsidR="002148B5">
        <w:rPr>
          <w:rFonts w:cstheme="minorHAnsi"/>
        </w:rPr>
        <w:t>D</w:t>
      </w:r>
      <w:r w:rsidR="00E95416">
        <w:rPr>
          <w:rFonts w:cstheme="minorHAnsi"/>
        </w:rPr>
        <w:t>eliverable-4.</w:t>
      </w:r>
    </w:p>
    <w:p w14:paraId="49DABD31" w14:textId="23C628C4" w:rsidR="00751D77" w:rsidRPr="00751D77" w:rsidRDefault="00751D77" w:rsidP="00AD5304">
      <w:pPr>
        <w:numPr>
          <w:ilvl w:val="0"/>
          <w:numId w:val="16"/>
        </w:numPr>
        <w:shd w:val="clear" w:color="auto" w:fill="FFFFFF" w:themeFill="background1"/>
        <w:spacing w:after="0" w:line="240" w:lineRule="auto"/>
        <w:jc w:val="both"/>
        <w:rPr>
          <w:rFonts w:cstheme="minorHAnsi"/>
        </w:rPr>
      </w:pPr>
      <w:r w:rsidRPr="00EA1125">
        <w:rPr>
          <w:rFonts w:cstheme="minorHAnsi"/>
        </w:rPr>
        <w:t>(</w:t>
      </w:r>
      <w:r w:rsidR="00542958">
        <w:rPr>
          <w:rFonts w:cstheme="minorHAnsi"/>
        </w:rPr>
        <w:t>5</w:t>
      </w:r>
      <w:r w:rsidRPr="00EA1125">
        <w:rPr>
          <w:rFonts w:cstheme="minorHAnsi"/>
        </w:rPr>
        <w:t xml:space="preserve">%) as a fifth payment upon timely submission </w:t>
      </w:r>
      <w:r w:rsidR="00A4228E">
        <w:rPr>
          <w:rFonts w:cstheme="minorHAnsi"/>
        </w:rPr>
        <w:t xml:space="preserve">and approval </w:t>
      </w:r>
      <w:r w:rsidRPr="00EA1125">
        <w:rPr>
          <w:rFonts w:cstheme="minorHAnsi"/>
        </w:rPr>
        <w:t xml:space="preserve">of </w:t>
      </w:r>
      <w:r w:rsidR="002148B5">
        <w:rPr>
          <w:rFonts w:cstheme="minorHAnsi"/>
        </w:rPr>
        <w:t>D</w:t>
      </w:r>
      <w:r w:rsidR="00E95416">
        <w:rPr>
          <w:rFonts w:cstheme="minorHAnsi"/>
        </w:rPr>
        <w:t>eliverable-5</w:t>
      </w:r>
      <w:r w:rsidRPr="00EA1125">
        <w:rPr>
          <w:rFonts w:cstheme="minorHAnsi"/>
        </w:rPr>
        <w:t xml:space="preserve"> and </w:t>
      </w:r>
      <w:r w:rsidR="00A4228E">
        <w:rPr>
          <w:rFonts w:cstheme="minorHAnsi"/>
        </w:rPr>
        <w:t xml:space="preserve">final </w:t>
      </w:r>
      <w:r w:rsidRPr="00EA1125">
        <w:rPr>
          <w:rFonts w:cstheme="minorHAnsi"/>
        </w:rPr>
        <w:t>handover of the project sites to be inspected by the ILO.</w:t>
      </w:r>
    </w:p>
    <w:p w14:paraId="69108749" w14:textId="77777777" w:rsidR="00544E5F" w:rsidRDefault="00544E5F" w:rsidP="00AD5304">
      <w:pPr>
        <w:pStyle w:val="Heading2"/>
        <w:shd w:val="clear" w:color="auto" w:fill="FFFFFF" w:themeFill="background1"/>
        <w:spacing w:line="240" w:lineRule="auto"/>
        <w:rPr>
          <w:caps/>
        </w:rPr>
      </w:pPr>
    </w:p>
    <w:p w14:paraId="40A0D69C" w14:textId="39C9ADA9" w:rsidR="00636B10" w:rsidRPr="0064058C" w:rsidRDefault="00707F86" w:rsidP="00AD5304">
      <w:pPr>
        <w:pStyle w:val="Heading2"/>
        <w:shd w:val="clear" w:color="auto" w:fill="FFFFFF" w:themeFill="background1"/>
        <w:spacing w:line="240" w:lineRule="auto"/>
        <w:rPr>
          <w:caps/>
        </w:rPr>
      </w:pPr>
      <w:r w:rsidRPr="0064058C">
        <w:rPr>
          <w:caps/>
        </w:rPr>
        <w:t>Instructions</w:t>
      </w:r>
      <w:r w:rsidR="00636B10" w:rsidRPr="0064058C">
        <w:rPr>
          <w:caps/>
        </w:rPr>
        <w:t xml:space="preserve"> to </w:t>
      </w:r>
      <w:r w:rsidR="0067004F">
        <w:rPr>
          <w:caps/>
        </w:rPr>
        <w:t>BIDDERS</w:t>
      </w:r>
      <w:r w:rsidR="00636B10" w:rsidRPr="0064058C">
        <w:rPr>
          <w:caps/>
        </w:rPr>
        <w:t xml:space="preserve"> </w:t>
      </w:r>
    </w:p>
    <w:p w14:paraId="1214A6DC" w14:textId="3E21A67F" w:rsidR="000D2F05" w:rsidRPr="00790A08" w:rsidRDefault="00211925" w:rsidP="00AD5304">
      <w:pPr>
        <w:shd w:val="clear" w:color="auto" w:fill="FFFFFF" w:themeFill="background1"/>
        <w:jc w:val="both"/>
        <w:rPr>
          <w:rFonts w:cstheme="minorHAnsi"/>
          <w:lang w:val="en-US"/>
        </w:rPr>
      </w:pPr>
      <w:r>
        <w:rPr>
          <w:rFonts w:cstheme="minorHAnsi"/>
          <w:lang w:val="en-US"/>
        </w:rPr>
        <w:t>Interested bidders</w:t>
      </w:r>
      <w:r w:rsidR="00D56DF4">
        <w:rPr>
          <w:rFonts w:cstheme="minorHAnsi"/>
          <w:lang w:val="en-US"/>
        </w:rPr>
        <w:t xml:space="preserve"> shall submit a technical and financial proposal</w:t>
      </w:r>
      <w:r w:rsidR="000D2F05" w:rsidRPr="00D60BE9">
        <w:rPr>
          <w:rFonts w:cstheme="minorHAnsi"/>
          <w:color w:val="000000" w:themeColor="text1"/>
        </w:rPr>
        <w:t xml:space="preserve">. The technical proposal shall demonstrate the bidder’s capacity to successfully carry out the assignment, including its </w:t>
      </w:r>
      <w:r w:rsidR="000D2F05">
        <w:rPr>
          <w:rFonts w:cstheme="minorHAnsi"/>
          <w:color w:val="000000" w:themeColor="text1"/>
        </w:rPr>
        <w:t xml:space="preserve">previous </w:t>
      </w:r>
      <w:r w:rsidR="000D2F05" w:rsidRPr="00D60BE9">
        <w:rPr>
          <w:rFonts w:cstheme="minorHAnsi"/>
          <w:color w:val="000000" w:themeColor="text1"/>
        </w:rPr>
        <w:t>experience in s</w:t>
      </w:r>
      <w:r w:rsidR="000D2F05">
        <w:rPr>
          <w:rFonts w:cstheme="minorHAnsi"/>
          <w:color w:val="000000" w:themeColor="text1"/>
        </w:rPr>
        <w:t>imilar</w:t>
      </w:r>
      <w:r w:rsidR="000D2F05" w:rsidRPr="00D60BE9">
        <w:rPr>
          <w:rFonts w:cstheme="minorHAnsi"/>
          <w:color w:val="000000" w:themeColor="text1"/>
        </w:rPr>
        <w:t xml:space="preserve"> works as well as management and technical ability. </w:t>
      </w:r>
      <w:r w:rsidR="000D2F05">
        <w:rPr>
          <w:rFonts w:cstheme="minorHAnsi"/>
          <w:lang w:val="en-US"/>
        </w:rPr>
        <w:t>The technical proposal should also indicate how the bidder intends to undertake the activities, summary of similar projects and work done in the past</w:t>
      </w:r>
      <w:r>
        <w:rPr>
          <w:rFonts w:cstheme="minorHAnsi"/>
          <w:lang w:val="en-US"/>
        </w:rPr>
        <w:t xml:space="preserve">, </w:t>
      </w:r>
      <w:r w:rsidR="000D2F05" w:rsidRPr="00D62547">
        <w:rPr>
          <w:rFonts w:cstheme="minorHAnsi"/>
          <w:lang w:val="en-US"/>
        </w:rPr>
        <w:t>and the proposed workplan</w:t>
      </w:r>
      <w:r w:rsidR="000D2F05">
        <w:rPr>
          <w:rFonts w:cstheme="minorHAnsi"/>
          <w:lang w:val="en-US"/>
        </w:rPr>
        <w:t xml:space="preserve">. </w:t>
      </w:r>
      <w:r w:rsidR="000D2F05">
        <w:rPr>
          <w:rFonts w:cstheme="minorHAnsi"/>
          <w:color w:val="000000" w:themeColor="text1"/>
        </w:rPr>
        <w:t>Certificates of registration, CVs of the proposed staff, completion reports of previously executed projects should be included in the technical proposal.</w:t>
      </w:r>
    </w:p>
    <w:p w14:paraId="2C4C254E" w14:textId="6AF2BF36" w:rsidR="000D2F05" w:rsidRPr="000D2F05" w:rsidRDefault="000D2F05" w:rsidP="00AD5304">
      <w:pPr>
        <w:shd w:val="clear" w:color="auto" w:fill="FFFFFF" w:themeFill="background1"/>
        <w:jc w:val="both"/>
        <w:rPr>
          <w:rFonts w:cstheme="minorHAnsi"/>
          <w:color w:val="000000" w:themeColor="text1"/>
        </w:rPr>
      </w:pPr>
      <w:r>
        <w:rPr>
          <w:rFonts w:cstheme="minorHAnsi"/>
          <w:color w:val="000000" w:themeColor="text1"/>
          <w:lang w:val="en-US"/>
        </w:rPr>
        <w:t xml:space="preserve">The financial proposal should cover the cost elements to be incurred </w:t>
      </w:r>
      <w:proofErr w:type="gramStart"/>
      <w:r>
        <w:rPr>
          <w:rFonts w:cstheme="minorHAnsi"/>
          <w:color w:val="000000" w:themeColor="text1"/>
          <w:lang w:val="en-US"/>
        </w:rPr>
        <w:t>in order to</w:t>
      </w:r>
      <w:proofErr w:type="gramEnd"/>
      <w:r>
        <w:rPr>
          <w:rFonts w:cstheme="minorHAnsi"/>
          <w:color w:val="000000" w:themeColor="text1"/>
          <w:lang w:val="en-US"/>
        </w:rPr>
        <w:t xml:space="preserve"> carry out the activities/tasks outlined in the TOR. </w:t>
      </w:r>
    </w:p>
    <w:p w14:paraId="254C9E2A" w14:textId="35563CE7" w:rsidR="00636B10" w:rsidRDefault="00636B10" w:rsidP="00AD5304">
      <w:pPr>
        <w:pStyle w:val="Heading2"/>
        <w:shd w:val="clear" w:color="auto" w:fill="FFFFFF" w:themeFill="background1"/>
        <w:spacing w:line="240" w:lineRule="auto"/>
        <w:jc w:val="both"/>
        <w:rPr>
          <w:caps/>
        </w:rPr>
      </w:pPr>
      <w:r w:rsidRPr="0064058C">
        <w:rPr>
          <w:caps/>
        </w:rPr>
        <w:t>Submission of Proposals</w:t>
      </w:r>
    </w:p>
    <w:p w14:paraId="121A75E4" w14:textId="29047905" w:rsidR="0055492D" w:rsidRPr="00EE171D" w:rsidRDefault="0055492D" w:rsidP="00AD5304">
      <w:pPr>
        <w:shd w:val="clear" w:color="auto" w:fill="FFFFFF" w:themeFill="background1"/>
      </w:pPr>
      <w:r>
        <w:t xml:space="preserve">Interested bidders </w:t>
      </w:r>
      <w:r w:rsidRPr="00EE171D">
        <w:t>should s</w:t>
      </w:r>
      <w:r>
        <w:t>end their technical proposal and financial proposal to</w:t>
      </w:r>
      <w:r w:rsidRPr="00EE171D">
        <w:t xml:space="preserve"> </w:t>
      </w:r>
      <w:hyperlink r:id="rId9" w:history="1">
        <w:r w:rsidRPr="000D227E">
          <w:rPr>
            <w:rStyle w:val="Hyperlink"/>
            <w:u w:val="none"/>
          </w:rPr>
          <w:t>addis_procurement@ilo.org</w:t>
        </w:r>
      </w:hyperlink>
      <w:r w:rsidRPr="000D227E">
        <w:t xml:space="preserve"> </w:t>
      </w:r>
      <w:r w:rsidRPr="00EE171D">
        <w:t xml:space="preserve">no later than </w:t>
      </w:r>
      <w:r w:rsidR="00106AB2">
        <w:rPr>
          <w:b/>
          <w:bCs/>
        </w:rPr>
        <w:t>22</w:t>
      </w:r>
      <w:r>
        <w:rPr>
          <w:b/>
          <w:bCs/>
        </w:rPr>
        <w:t xml:space="preserve"> </w:t>
      </w:r>
      <w:r w:rsidR="00106AB2">
        <w:rPr>
          <w:b/>
          <w:bCs/>
        </w:rPr>
        <w:t>February</w:t>
      </w:r>
      <w:r w:rsidRPr="00790A08">
        <w:rPr>
          <w:b/>
          <w:bCs/>
        </w:rPr>
        <w:t xml:space="preserve"> 202</w:t>
      </w:r>
      <w:r w:rsidR="00106AB2">
        <w:rPr>
          <w:b/>
          <w:bCs/>
        </w:rPr>
        <w:t>4</w:t>
      </w:r>
      <w:r w:rsidRPr="00EE171D">
        <w:t xml:space="preserve">. Requests for documents as well as questions related to the assignment can be submitted to </w:t>
      </w:r>
      <w:hyperlink r:id="rId10" w:history="1">
        <w:r w:rsidRPr="000D227E">
          <w:rPr>
            <w:rStyle w:val="Hyperlink"/>
            <w:u w:val="none"/>
          </w:rPr>
          <w:t>addis_procurement@ilo.org</w:t>
        </w:r>
      </w:hyperlink>
      <w:r>
        <w:t xml:space="preserve"> </w:t>
      </w:r>
      <w:r w:rsidRPr="00E1619B">
        <w:t>by</w:t>
      </w:r>
      <w:r>
        <w:t xml:space="preserve"> </w:t>
      </w:r>
      <w:r w:rsidR="00106AB2">
        <w:rPr>
          <w:b/>
          <w:bCs/>
        </w:rPr>
        <w:t>15 February 2024</w:t>
      </w:r>
      <w:r w:rsidRPr="00EE171D">
        <w:t xml:space="preserve">. All </w:t>
      </w:r>
      <w:r>
        <w:t>candidates</w:t>
      </w:r>
      <w:r w:rsidRPr="00EE171D">
        <w:t xml:space="preserve"> will receive a response latest by</w:t>
      </w:r>
      <w:r>
        <w:t xml:space="preserve"> </w:t>
      </w:r>
      <w:r w:rsidR="00106AB2">
        <w:rPr>
          <w:b/>
          <w:bCs/>
        </w:rPr>
        <w:t>19</w:t>
      </w:r>
      <w:r w:rsidRPr="00790A08">
        <w:rPr>
          <w:b/>
          <w:bCs/>
        </w:rPr>
        <w:t xml:space="preserve"> </w:t>
      </w:r>
      <w:r w:rsidR="00106AB2">
        <w:rPr>
          <w:b/>
          <w:bCs/>
        </w:rPr>
        <w:t>February</w:t>
      </w:r>
      <w:r w:rsidRPr="00790A08">
        <w:rPr>
          <w:b/>
          <w:bCs/>
        </w:rPr>
        <w:t xml:space="preserve"> 202</w:t>
      </w:r>
      <w:r w:rsidR="00106AB2">
        <w:rPr>
          <w:b/>
          <w:bCs/>
        </w:rPr>
        <w:t>4</w:t>
      </w:r>
      <w:r>
        <w:t>.</w:t>
      </w:r>
      <w:r w:rsidRPr="00EE171D">
        <w:t xml:space="preserve"> </w:t>
      </w:r>
    </w:p>
    <w:p w14:paraId="30E4D235" w14:textId="77777777" w:rsidR="00EE171D" w:rsidRPr="00EE171D" w:rsidRDefault="00EE171D" w:rsidP="00AD5304">
      <w:pPr>
        <w:shd w:val="clear" w:color="auto" w:fill="FFFFFF" w:themeFill="background1"/>
      </w:pPr>
    </w:p>
    <w:sectPr w:rsidR="00EE171D" w:rsidRPr="00EE17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C51E" w14:textId="77777777" w:rsidR="00C10A5F" w:rsidRDefault="00C10A5F" w:rsidP="00B57E36">
      <w:pPr>
        <w:spacing w:after="0" w:line="240" w:lineRule="auto"/>
      </w:pPr>
      <w:r>
        <w:separator/>
      </w:r>
    </w:p>
  </w:endnote>
  <w:endnote w:type="continuationSeparator" w:id="0">
    <w:p w14:paraId="08BC5F94" w14:textId="77777777" w:rsidR="00C10A5F" w:rsidRDefault="00C10A5F" w:rsidP="00B5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217BA" w14:textId="77777777" w:rsidR="00C10A5F" w:rsidRDefault="00C10A5F" w:rsidP="00B57E36">
      <w:pPr>
        <w:spacing w:after="0" w:line="240" w:lineRule="auto"/>
      </w:pPr>
      <w:r>
        <w:separator/>
      </w:r>
    </w:p>
  </w:footnote>
  <w:footnote w:type="continuationSeparator" w:id="0">
    <w:p w14:paraId="13713D88" w14:textId="77777777" w:rsidR="00C10A5F" w:rsidRDefault="00C10A5F" w:rsidP="00B57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F5D"/>
    <w:multiLevelType w:val="hybridMultilevel"/>
    <w:tmpl w:val="EE4A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05AB4"/>
    <w:multiLevelType w:val="hybridMultilevel"/>
    <w:tmpl w:val="F19231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3521DA"/>
    <w:multiLevelType w:val="hybridMultilevel"/>
    <w:tmpl w:val="A9A47C86"/>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94F3F"/>
    <w:multiLevelType w:val="hybridMultilevel"/>
    <w:tmpl w:val="E418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931A8"/>
    <w:multiLevelType w:val="hybridMultilevel"/>
    <w:tmpl w:val="326CB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2A02FE"/>
    <w:multiLevelType w:val="hybridMultilevel"/>
    <w:tmpl w:val="179C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F53AD"/>
    <w:multiLevelType w:val="hybridMultilevel"/>
    <w:tmpl w:val="BCD8430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D11CA9"/>
    <w:multiLevelType w:val="hybridMultilevel"/>
    <w:tmpl w:val="4D40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7E7204"/>
    <w:multiLevelType w:val="hybridMultilevel"/>
    <w:tmpl w:val="7CFAEC34"/>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E17F54"/>
    <w:multiLevelType w:val="multilevel"/>
    <w:tmpl w:val="1E52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E614B1"/>
    <w:multiLevelType w:val="hybridMultilevel"/>
    <w:tmpl w:val="E22AFB64"/>
    <w:lvl w:ilvl="0" w:tplc="294A724C">
      <w:start w:val="20"/>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029BA"/>
    <w:multiLevelType w:val="hybridMultilevel"/>
    <w:tmpl w:val="107E10D8"/>
    <w:lvl w:ilvl="0" w:tplc="294A724C">
      <w:start w:val="20"/>
      <w:numFmt w:val="bullet"/>
      <w:lvlText w:val="-"/>
      <w:lvlJc w:val="left"/>
      <w:pPr>
        <w:ind w:left="1800" w:hanging="360"/>
      </w:pPr>
      <w:rPr>
        <w:rFonts w:ascii="Calibri" w:eastAsiaTheme="minorHAnsi" w:hAnsi="Calibri" w:cstheme="minorBidi" w:hint="default"/>
      </w:rPr>
    </w:lvl>
    <w:lvl w:ilvl="1" w:tplc="A6E2DEFC">
      <w:numFmt w:val="bullet"/>
      <w:lvlText w:val="•"/>
      <w:lvlJc w:val="left"/>
      <w:pPr>
        <w:ind w:left="2880" w:hanging="720"/>
      </w:pPr>
      <w:rPr>
        <w:rFonts w:ascii="Calibri" w:eastAsiaTheme="minorHAnsi" w:hAnsi="Calibri" w:cstheme="minorBidi"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9322968"/>
    <w:multiLevelType w:val="hybridMultilevel"/>
    <w:tmpl w:val="7B087A9A"/>
    <w:lvl w:ilvl="0" w:tplc="19A40B6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455DCE"/>
    <w:multiLevelType w:val="hybridMultilevel"/>
    <w:tmpl w:val="7FF44BC6"/>
    <w:lvl w:ilvl="0" w:tplc="4BB260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3577F"/>
    <w:multiLevelType w:val="hybridMultilevel"/>
    <w:tmpl w:val="D4322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5" w15:restartNumberingAfterBreak="0">
    <w:nsid w:val="75D360D8"/>
    <w:multiLevelType w:val="hybridMultilevel"/>
    <w:tmpl w:val="72E67C54"/>
    <w:lvl w:ilvl="0" w:tplc="08090011">
      <w:start w:val="1"/>
      <w:numFmt w:val="decimal"/>
      <w:lvlText w:val="%1)"/>
      <w:lvlJc w:val="left"/>
      <w:pPr>
        <w:ind w:left="63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919175D"/>
    <w:multiLevelType w:val="hybridMultilevel"/>
    <w:tmpl w:val="9BC8BCB2"/>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E2C2552"/>
    <w:multiLevelType w:val="hybridMultilevel"/>
    <w:tmpl w:val="9BC8BCB2"/>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4546541">
    <w:abstractNumId w:val="15"/>
  </w:num>
  <w:num w:numId="2" w16cid:durableId="723334678">
    <w:abstractNumId w:val="11"/>
  </w:num>
  <w:num w:numId="3" w16cid:durableId="1382285801">
    <w:abstractNumId w:val="16"/>
  </w:num>
  <w:num w:numId="4" w16cid:durableId="1316178548">
    <w:abstractNumId w:val="7"/>
  </w:num>
  <w:num w:numId="5" w16cid:durableId="504517279">
    <w:abstractNumId w:val="5"/>
  </w:num>
  <w:num w:numId="6" w16cid:durableId="849103406">
    <w:abstractNumId w:val="2"/>
  </w:num>
  <w:num w:numId="7" w16cid:durableId="1351952987">
    <w:abstractNumId w:val="17"/>
  </w:num>
  <w:num w:numId="8" w16cid:durableId="233518036">
    <w:abstractNumId w:val="3"/>
  </w:num>
  <w:num w:numId="9" w16cid:durableId="882785759">
    <w:abstractNumId w:val="9"/>
  </w:num>
  <w:num w:numId="10" w16cid:durableId="667558503">
    <w:abstractNumId w:val="4"/>
  </w:num>
  <w:num w:numId="11" w16cid:durableId="477696554">
    <w:abstractNumId w:val="8"/>
  </w:num>
  <w:num w:numId="12" w16cid:durableId="379060355">
    <w:abstractNumId w:val="10"/>
  </w:num>
  <w:num w:numId="13" w16cid:durableId="487861638">
    <w:abstractNumId w:val="14"/>
  </w:num>
  <w:num w:numId="14" w16cid:durableId="2830630">
    <w:abstractNumId w:val="6"/>
  </w:num>
  <w:num w:numId="15" w16cid:durableId="1806312933">
    <w:abstractNumId w:val="13"/>
  </w:num>
  <w:num w:numId="16" w16cid:durableId="1797483923">
    <w:abstractNumId w:val="12"/>
  </w:num>
  <w:num w:numId="17" w16cid:durableId="852231556">
    <w:abstractNumId w:val="0"/>
  </w:num>
  <w:num w:numId="18" w16cid:durableId="98161587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1E0"/>
    <w:rsid w:val="0000465F"/>
    <w:rsid w:val="00007B7C"/>
    <w:rsid w:val="00013A52"/>
    <w:rsid w:val="00015208"/>
    <w:rsid w:val="00023B12"/>
    <w:rsid w:val="000265BC"/>
    <w:rsid w:val="0003378B"/>
    <w:rsid w:val="00040DEA"/>
    <w:rsid w:val="00043D85"/>
    <w:rsid w:val="00066BC8"/>
    <w:rsid w:val="00067B64"/>
    <w:rsid w:val="0007362F"/>
    <w:rsid w:val="00076B4D"/>
    <w:rsid w:val="00094508"/>
    <w:rsid w:val="000B0B4D"/>
    <w:rsid w:val="000C00D3"/>
    <w:rsid w:val="000C3D26"/>
    <w:rsid w:val="000D2F05"/>
    <w:rsid w:val="00106AB2"/>
    <w:rsid w:val="00114AEE"/>
    <w:rsid w:val="001522B2"/>
    <w:rsid w:val="00181184"/>
    <w:rsid w:val="00183275"/>
    <w:rsid w:val="00184438"/>
    <w:rsid w:val="0019320F"/>
    <w:rsid w:val="00195C79"/>
    <w:rsid w:val="001A62FB"/>
    <w:rsid w:val="001B2876"/>
    <w:rsid w:val="001D02AD"/>
    <w:rsid w:val="001D1CAB"/>
    <w:rsid w:val="001D2230"/>
    <w:rsid w:val="001F446C"/>
    <w:rsid w:val="00204873"/>
    <w:rsid w:val="00211925"/>
    <w:rsid w:val="002148B5"/>
    <w:rsid w:val="00226F08"/>
    <w:rsid w:val="00244FC0"/>
    <w:rsid w:val="00253D08"/>
    <w:rsid w:val="002801AA"/>
    <w:rsid w:val="002A124B"/>
    <w:rsid w:val="002A4C92"/>
    <w:rsid w:val="002A56C4"/>
    <w:rsid w:val="002F25E0"/>
    <w:rsid w:val="002F2E75"/>
    <w:rsid w:val="002F2FB6"/>
    <w:rsid w:val="003106F7"/>
    <w:rsid w:val="00316723"/>
    <w:rsid w:val="00317C00"/>
    <w:rsid w:val="00320148"/>
    <w:rsid w:val="003359D1"/>
    <w:rsid w:val="00350D0D"/>
    <w:rsid w:val="00366022"/>
    <w:rsid w:val="00375231"/>
    <w:rsid w:val="00381E0D"/>
    <w:rsid w:val="003C1CF6"/>
    <w:rsid w:val="003C4550"/>
    <w:rsid w:val="003C74D3"/>
    <w:rsid w:val="003D30E4"/>
    <w:rsid w:val="003D7469"/>
    <w:rsid w:val="003F3C4D"/>
    <w:rsid w:val="00414657"/>
    <w:rsid w:val="004167E1"/>
    <w:rsid w:val="00416D18"/>
    <w:rsid w:val="0043080E"/>
    <w:rsid w:val="00432A2A"/>
    <w:rsid w:val="0045573A"/>
    <w:rsid w:val="00456D14"/>
    <w:rsid w:val="004645E4"/>
    <w:rsid w:val="00473532"/>
    <w:rsid w:val="004921EF"/>
    <w:rsid w:val="004A60FE"/>
    <w:rsid w:val="004C6275"/>
    <w:rsid w:val="004C74F0"/>
    <w:rsid w:val="004D26CE"/>
    <w:rsid w:val="004D332D"/>
    <w:rsid w:val="004E29BD"/>
    <w:rsid w:val="005109DA"/>
    <w:rsid w:val="00515051"/>
    <w:rsid w:val="005273A5"/>
    <w:rsid w:val="005303A1"/>
    <w:rsid w:val="00542958"/>
    <w:rsid w:val="00544E5F"/>
    <w:rsid w:val="00545AB6"/>
    <w:rsid w:val="0055492D"/>
    <w:rsid w:val="00571F25"/>
    <w:rsid w:val="00574930"/>
    <w:rsid w:val="00577A06"/>
    <w:rsid w:val="00581AA3"/>
    <w:rsid w:val="00583D42"/>
    <w:rsid w:val="005845C8"/>
    <w:rsid w:val="00590864"/>
    <w:rsid w:val="005B0DA2"/>
    <w:rsid w:val="005B2899"/>
    <w:rsid w:val="005B5D84"/>
    <w:rsid w:val="005D6761"/>
    <w:rsid w:val="005E1C33"/>
    <w:rsid w:val="005F503F"/>
    <w:rsid w:val="00614837"/>
    <w:rsid w:val="00636B10"/>
    <w:rsid w:val="0064058C"/>
    <w:rsid w:val="00657A7A"/>
    <w:rsid w:val="0067004F"/>
    <w:rsid w:val="0068567E"/>
    <w:rsid w:val="00696A2E"/>
    <w:rsid w:val="006A6F7D"/>
    <w:rsid w:val="006C37D0"/>
    <w:rsid w:val="006C608B"/>
    <w:rsid w:val="006C61D8"/>
    <w:rsid w:val="006D4D91"/>
    <w:rsid w:val="006E0DC7"/>
    <w:rsid w:val="007042D8"/>
    <w:rsid w:val="00707F86"/>
    <w:rsid w:val="00720AE2"/>
    <w:rsid w:val="00734D9D"/>
    <w:rsid w:val="00742249"/>
    <w:rsid w:val="007442C2"/>
    <w:rsid w:val="00751D77"/>
    <w:rsid w:val="007800BA"/>
    <w:rsid w:val="00790A08"/>
    <w:rsid w:val="00792C59"/>
    <w:rsid w:val="00797266"/>
    <w:rsid w:val="007B7A0B"/>
    <w:rsid w:val="007D2E7D"/>
    <w:rsid w:val="00802F67"/>
    <w:rsid w:val="00826CA3"/>
    <w:rsid w:val="00841568"/>
    <w:rsid w:val="008770E7"/>
    <w:rsid w:val="008A02CA"/>
    <w:rsid w:val="008A4D5D"/>
    <w:rsid w:val="008B068A"/>
    <w:rsid w:val="008C01EB"/>
    <w:rsid w:val="008C2A36"/>
    <w:rsid w:val="008D0CB2"/>
    <w:rsid w:val="008D32F3"/>
    <w:rsid w:val="00905AB5"/>
    <w:rsid w:val="0092636B"/>
    <w:rsid w:val="00935884"/>
    <w:rsid w:val="00952452"/>
    <w:rsid w:val="00953B09"/>
    <w:rsid w:val="00954848"/>
    <w:rsid w:val="0095531F"/>
    <w:rsid w:val="00955AF3"/>
    <w:rsid w:val="009600D3"/>
    <w:rsid w:val="0096722B"/>
    <w:rsid w:val="00967735"/>
    <w:rsid w:val="00971F4C"/>
    <w:rsid w:val="009821FD"/>
    <w:rsid w:val="00986460"/>
    <w:rsid w:val="009A6AF5"/>
    <w:rsid w:val="009E3A96"/>
    <w:rsid w:val="009E466A"/>
    <w:rsid w:val="009E7693"/>
    <w:rsid w:val="00A348BB"/>
    <w:rsid w:val="00A34C38"/>
    <w:rsid w:val="00A4228E"/>
    <w:rsid w:val="00A60DC3"/>
    <w:rsid w:val="00A65015"/>
    <w:rsid w:val="00A65813"/>
    <w:rsid w:val="00A73C63"/>
    <w:rsid w:val="00A74B52"/>
    <w:rsid w:val="00AA51BB"/>
    <w:rsid w:val="00AB01E8"/>
    <w:rsid w:val="00AB1150"/>
    <w:rsid w:val="00AB1457"/>
    <w:rsid w:val="00AB3F69"/>
    <w:rsid w:val="00AC1986"/>
    <w:rsid w:val="00AC59C7"/>
    <w:rsid w:val="00AD09AD"/>
    <w:rsid w:val="00AD11DD"/>
    <w:rsid w:val="00AD21D3"/>
    <w:rsid w:val="00AD5304"/>
    <w:rsid w:val="00AD6A59"/>
    <w:rsid w:val="00B3202B"/>
    <w:rsid w:val="00B4215E"/>
    <w:rsid w:val="00B4745A"/>
    <w:rsid w:val="00B540BC"/>
    <w:rsid w:val="00B57E36"/>
    <w:rsid w:val="00B9195F"/>
    <w:rsid w:val="00B96B6F"/>
    <w:rsid w:val="00BB17C2"/>
    <w:rsid w:val="00BC3B40"/>
    <w:rsid w:val="00BD0DF7"/>
    <w:rsid w:val="00BF013E"/>
    <w:rsid w:val="00BF0882"/>
    <w:rsid w:val="00BF6BAD"/>
    <w:rsid w:val="00C02084"/>
    <w:rsid w:val="00C10A5F"/>
    <w:rsid w:val="00C11975"/>
    <w:rsid w:val="00C12D40"/>
    <w:rsid w:val="00C14A25"/>
    <w:rsid w:val="00C41ED6"/>
    <w:rsid w:val="00C45321"/>
    <w:rsid w:val="00C51321"/>
    <w:rsid w:val="00C5383E"/>
    <w:rsid w:val="00C55695"/>
    <w:rsid w:val="00C635C6"/>
    <w:rsid w:val="00C74529"/>
    <w:rsid w:val="00C8115A"/>
    <w:rsid w:val="00C813BD"/>
    <w:rsid w:val="00C906BA"/>
    <w:rsid w:val="00C936F0"/>
    <w:rsid w:val="00C9554B"/>
    <w:rsid w:val="00CA330F"/>
    <w:rsid w:val="00CA34BB"/>
    <w:rsid w:val="00CA68DA"/>
    <w:rsid w:val="00CB2524"/>
    <w:rsid w:val="00CB2B69"/>
    <w:rsid w:val="00CB6ACF"/>
    <w:rsid w:val="00CC59CB"/>
    <w:rsid w:val="00CE155B"/>
    <w:rsid w:val="00D11624"/>
    <w:rsid w:val="00D13CC5"/>
    <w:rsid w:val="00D17863"/>
    <w:rsid w:val="00D33960"/>
    <w:rsid w:val="00D5268E"/>
    <w:rsid w:val="00D5453C"/>
    <w:rsid w:val="00D54C90"/>
    <w:rsid w:val="00D56DF4"/>
    <w:rsid w:val="00D60FF8"/>
    <w:rsid w:val="00D842A6"/>
    <w:rsid w:val="00D92C54"/>
    <w:rsid w:val="00D96A1A"/>
    <w:rsid w:val="00E13CCF"/>
    <w:rsid w:val="00E1619B"/>
    <w:rsid w:val="00E2040D"/>
    <w:rsid w:val="00E3030E"/>
    <w:rsid w:val="00E37666"/>
    <w:rsid w:val="00E41CCC"/>
    <w:rsid w:val="00E421E0"/>
    <w:rsid w:val="00E53A80"/>
    <w:rsid w:val="00E650E8"/>
    <w:rsid w:val="00E719EA"/>
    <w:rsid w:val="00E73AE6"/>
    <w:rsid w:val="00E7410D"/>
    <w:rsid w:val="00E75AD1"/>
    <w:rsid w:val="00E9533E"/>
    <w:rsid w:val="00E95416"/>
    <w:rsid w:val="00EA5678"/>
    <w:rsid w:val="00EB4092"/>
    <w:rsid w:val="00ED2144"/>
    <w:rsid w:val="00EE171D"/>
    <w:rsid w:val="00EF059C"/>
    <w:rsid w:val="00F06AD5"/>
    <w:rsid w:val="00F33CA0"/>
    <w:rsid w:val="00F353DD"/>
    <w:rsid w:val="00F369D2"/>
    <w:rsid w:val="00F37479"/>
    <w:rsid w:val="00F54927"/>
    <w:rsid w:val="00F56AC6"/>
    <w:rsid w:val="00F66893"/>
    <w:rsid w:val="00F72C52"/>
    <w:rsid w:val="00F8273C"/>
    <w:rsid w:val="00F82ECD"/>
    <w:rsid w:val="00F90E46"/>
    <w:rsid w:val="00F95B4B"/>
    <w:rsid w:val="00FB055C"/>
    <w:rsid w:val="00FB7E63"/>
    <w:rsid w:val="00FC226A"/>
    <w:rsid w:val="00FC7482"/>
    <w:rsid w:val="00FD0678"/>
    <w:rsid w:val="00FD5E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345A1"/>
  <w15:chartTrackingRefBased/>
  <w15:docId w15:val="{12D102B0-9352-4D8E-87E5-A1BB9D15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1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421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1E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421E0"/>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F06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List Paragraph11,L,Bullets,1,Bullet Points,Liste Paragraf,MCHIP_list paragraph,List Paragraph (numbered (a)),Dot pt,F5 List Paragraph,List Paragraph Char Char Char,Indicator Text,Numbered Para 1,MAIN CONTENT"/>
    <w:basedOn w:val="Normal"/>
    <w:link w:val="ListParagraphChar"/>
    <w:uiPriority w:val="34"/>
    <w:qFormat/>
    <w:rsid w:val="00F06AD5"/>
    <w:pPr>
      <w:ind w:left="720"/>
      <w:contextualSpacing/>
    </w:pPr>
  </w:style>
  <w:style w:type="character" w:styleId="CommentReference">
    <w:name w:val="annotation reference"/>
    <w:basedOn w:val="DefaultParagraphFont"/>
    <w:uiPriority w:val="99"/>
    <w:semiHidden/>
    <w:unhideWhenUsed/>
    <w:rsid w:val="00076B4D"/>
    <w:rPr>
      <w:sz w:val="16"/>
      <w:szCs w:val="16"/>
    </w:rPr>
  </w:style>
  <w:style w:type="paragraph" w:styleId="CommentText">
    <w:name w:val="annotation text"/>
    <w:basedOn w:val="Normal"/>
    <w:link w:val="CommentTextChar"/>
    <w:uiPriority w:val="99"/>
    <w:unhideWhenUsed/>
    <w:rsid w:val="00076B4D"/>
    <w:pPr>
      <w:spacing w:line="240" w:lineRule="auto"/>
      <w:jc w:val="both"/>
    </w:pPr>
    <w:rPr>
      <w:sz w:val="20"/>
      <w:szCs w:val="20"/>
    </w:rPr>
  </w:style>
  <w:style w:type="character" w:customStyle="1" w:styleId="CommentTextChar">
    <w:name w:val="Comment Text Char"/>
    <w:basedOn w:val="DefaultParagraphFont"/>
    <w:link w:val="CommentText"/>
    <w:uiPriority w:val="99"/>
    <w:rsid w:val="00076B4D"/>
    <w:rPr>
      <w:sz w:val="20"/>
      <w:szCs w:val="20"/>
    </w:rPr>
  </w:style>
  <w:style w:type="paragraph" w:styleId="BalloonText">
    <w:name w:val="Balloon Text"/>
    <w:basedOn w:val="Normal"/>
    <w:link w:val="BalloonTextChar"/>
    <w:uiPriority w:val="99"/>
    <w:semiHidden/>
    <w:unhideWhenUsed/>
    <w:rsid w:val="00076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B4D"/>
    <w:rPr>
      <w:rFonts w:ascii="Segoe UI" w:hAnsi="Segoe UI" w:cs="Segoe UI"/>
      <w:sz w:val="18"/>
      <w:szCs w:val="18"/>
    </w:rPr>
  </w:style>
  <w:style w:type="character" w:styleId="Hyperlink">
    <w:name w:val="Hyperlink"/>
    <w:basedOn w:val="DefaultParagraphFont"/>
    <w:uiPriority w:val="99"/>
    <w:unhideWhenUsed/>
    <w:rsid w:val="000B0B4D"/>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5303A1"/>
    <w:pPr>
      <w:jc w:val="left"/>
    </w:pPr>
    <w:rPr>
      <w:b/>
      <w:bCs/>
    </w:rPr>
  </w:style>
  <w:style w:type="character" w:customStyle="1" w:styleId="CommentSubjectChar">
    <w:name w:val="Comment Subject Char"/>
    <w:basedOn w:val="CommentTextChar"/>
    <w:link w:val="CommentSubject"/>
    <w:uiPriority w:val="99"/>
    <w:semiHidden/>
    <w:rsid w:val="005303A1"/>
    <w:rPr>
      <w:b/>
      <w:bCs/>
      <w:sz w:val="20"/>
      <w:szCs w:val="20"/>
    </w:rPr>
  </w:style>
  <w:style w:type="character" w:customStyle="1" w:styleId="ListParagraphChar">
    <w:name w:val="List Paragraph Char"/>
    <w:aliases w:val="Recommendation Char,List Paragraph1 Char,List Paragraph11 Char,L Char,Bullets Char,1 Char,Bullet Points Char,Liste Paragraf Char,MCHIP_list paragraph Char,List Paragraph (numbered (a)) Char,Dot pt Char,F5 List Paragraph Char"/>
    <w:link w:val="ListParagraph"/>
    <w:uiPriority w:val="34"/>
    <w:qFormat/>
    <w:locked/>
    <w:rsid w:val="00AD21D3"/>
  </w:style>
  <w:style w:type="paragraph" w:styleId="Revision">
    <w:name w:val="Revision"/>
    <w:hidden/>
    <w:uiPriority w:val="99"/>
    <w:semiHidden/>
    <w:rsid w:val="003C74D3"/>
    <w:pPr>
      <w:spacing w:after="0" w:line="240" w:lineRule="auto"/>
    </w:pPr>
  </w:style>
  <w:style w:type="paragraph" w:styleId="FootnoteText">
    <w:name w:val="footnote text"/>
    <w:basedOn w:val="Normal"/>
    <w:link w:val="FootnoteTextChar"/>
    <w:uiPriority w:val="99"/>
    <w:semiHidden/>
    <w:unhideWhenUsed/>
    <w:rsid w:val="00B57E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E36"/>
    <w:rPr>
      <w:sz w:val="20"/>
      <w:szCs w:val="20"/>
    </w:rPr>
  </w:style>
  <w:style w:type="character" w:styleId="FootnoteReference">
    <w:name w:val="footnote reference"/>
    <w:basedOn w:val="DefaultParagraphFont"/>
    <w:uiPriority w:val="99"/>
    <w:semiHidden/>
    <w:unhideWhenUsed/>
    <w:rsid w:val="00B57E36"/>
    <w:rPr>
      <w:vertAlign w:val="superscript"/>
    </w:rPr>
  </w:style>
  <w:style w:type="character" w:styleId="UnresolvedMention">
    <w:name w:val="Unresolved Mention"/>
    <w:basedOn w:val="DefaultParagraphFont"/>
    <w:uiPriority w:val="99"/>
    <w:semiHidden/>
    <w:unhideWhenUsed/>
    <w:rsid w:val="008D0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dis_procurement@ilo.org" TargetMode="External"/><Relationship Id="rId4" Type="http://schemas.openxmlformats.org/officeDocument/2006/relationships/settings" Target="settings.xml"/><Relationship Id="rId9" Type="http://schemas.openxmlformats.org/officeDocument/2006/relationships/hyperlink" Target="mailto:addis_procurement@il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E0D77-86C2-4636-B49C-FD3598030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2371</Words>
  <Characters>13519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Sirelkhatim, Fatima Elsanousi</dc:creator>
  <cp:keywords/>
  <dc:description/>
  <cp:lastModifiedBy>Ahmed Khalf Allah, Ahmed Atia Allah</cp:lastModifiedBy>
  <cp:revision>3</cp:revision>
  <cp:lastPrinted>2022-03-22T11:21:00Z</cp:lastPrinted>
  <dcterms:created xsi:type="dcterms:W3CDTF">2024-01-23T10:17:00Z</dcterms:created>
  <dcterms:modified xsi:type="dcterms:W3CDTF">2024-01-24T07:46:00Z</dcterms:modified>
</cp:coreProperties>
</file>